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C90" w:rsidRDefault="00155C90" w:rsidP="00155C90">
      <w:pPr>
        <w:pStyle w:val="Heading3"/>
        <w:jc w:val="center"/>
        <w:rPr>
          <w:rFonts w:ascii="Arial" w:hAnsi="Arial" w:cs="Arial"/>
          <w:bCs w:val="0"/>
          <w:color w:val="FF0000"/>
          <w:sz w:val="28"/>
          <w:szCs w:val="28"/>
        </w:rPr>
      </w:pPr>
    </w:p>
    <w:p w:rsidR="00155C90" w:rsidRPr="00045ABC" w:rsidRDefault="007241A1" w:rsidP="00155C90">
      <w:pPr>
        <w:pStyle w:val="Heading3"/>
        <w:jc w:val="center"/>
        <w:rPr>
          <w:rFonts w:ascii="Arial" w:hAnsi="Arial" w:cs="Arial"/>
          <w:bCs w:val="0"/>
          <w:sz w:val="28"/>
          <w:szCs w:val="28"/>
        </w:rPr>
      </w:pPr>
      <w:r>
        <w:rPr>
          <w:rFonts w:ascii="Arial" w:hAnsi="Arial" w:cs="Arial"/>
          <w:bCs w:val="0"/>
          <w:sz w:val="28"/>
          <w:szCs w:val="28"/>
        </w:rPr>
        <w:t>ABC Company</w:t>
      </w:r>
      <w:r w:rsidR="00831428" w:rsidRPr="00045ABC">
        <w:rPr>
          <w:rFonts w:ascii="Arial" w:hAnsi="Arial" w:cs="Arial"/>
          <w:bCs w:val="0"/>
          <w:sz w:val="28"/>
          <w:szCs w:val="28"/>
        </w:rPr>
        <w:t xml:space="preserve"> 401(K) Plan &amp; Trust</w:t>
      </w:r>
      <w:r w:rsidR="00155C90" w:rsidRPr="00045ABC">
        <w:rPr>
          <w:rFonts w:ascii="Arial" w:hAnsi="Arial" w:cs="Arial"/>
          <w:bCs w:val="0"/>
          <w:sz w:val="28"/>
          <w:szCs w:val="28"/>
        </w:rPr>
        <w:t xml:space="preserve"> </w:t>
      </w:r>
      <w:r w:rsidR="00155C90" w:rsidRPr="00045ABC">
        <w:rPr>
          <w:rFonts w:ascii="Arial" w:hAnsi="Arial" w:cs="Arial"/>
          <w:bCs w:val="0"/>
          <w:sz w:val="28"/>
          <w:szCs w:val="28"/>
        </w:rPr>
        <w:br/>
        <w:t>Investment Policy Statement</w:t>
      </w:r>
    </w:p>
    <w:p w:rsidR="00155C90" w:rsidRDefault="00155C90" w:rsidP="00155C90">
      <w:pPr>
        <w:pStyle w:val="Heading3"/>
        <w:spacing w:before="0" w:beforeAutospacing="0" w:after="0" w:afterAutospacing="0"/>
        <w:rPr>
          <w:rFonts w:ascii="Arial Black" w:hAnsi="Arial Black" w:cs="Arial"/>
          <w:b w:val="0"/>
          <w:bCs w:val="0"/>
          <w:color w:val="808080"/>
          <w:sz w:val="20"/>
        </w:rPr>
      </w:pPr>
    </w:p>
    <w:p w:rsidR="00155C90" w:rsidRDefault="00155C90" w:rsidP="00155C90">
      <w:pPr>
        <w:pStyle w:val="Heading3"/>
        <w:spacing w:before="0" w:beforeAutospacing="0" w:after="0" w:afterAutospacing="0"/>
        <w:rPr>
          <w:rFonts w:ascii="Arial Black" w:hAnsi="Arial Black" w:cs="Arial"/>
          <w:b w:val="0"/>
          <w:bCs w:val="0"/>
          <w:color w:val="808080"/>
          <w:sz w:val="20"/>
        </w:rPr>
      </w:pPr>
    </w:p>
    <w:p w:rsidR="00155C90" w:rsidRDefault="00155C90" w:rsidP="00155C90">
      <w:pPr>
        <w:pStyle w:val="Heading3"/>
        <w:spacing w:before="0" w:beforeAutospacing="0" w:after="0" w:afterAutospacing="0"/>
        <w:rPr>
          <w:rFonts w:ascii="Arial Black" w:hAnsi="Arial Black" w:cs="Arial"/>
          <w:b w:val="0"/>
          <w:bCs w:val="0"/>
          <w:color w:val="808080"/>
          <w:sz w:val="20"/>
        </w:rPr>
      </w:pPr>
      <w:r>
        <w:rPr>
          <w:rFonts w:ascii="Arial Black" w:hAnsi="Arial Black" w:cs="Arial"/>
          <w:b w:val="0"/>
          <w:bCs w:val="0"/>
          <w:color w:val="808080"/>
          <w:sz w:val="20"/>
        </w:rPr>
        <w:t xml:space="preserve">Part </w:t>
      </w:r>
      <w:smartTag w:uri="urn:schemas-microsoft-com:office:smarttags" w:element="place">
        <w:r>
          <w:rPr>
            <w:rFonts w:ascii="Arial Black" w:hAnsi="Arial Black" w:cs="Arial"/>
            <w:b w:val="0"/>
            <w:bCs w:val="0"/>
            <w:color w:val="808080"/>
            <w:sz w:val="20"/>
          </w:rPr>
          <w:t>I.</w:t>
        </w:r>
      </w:smartTag>
      <w:r>
        <w:rPr>
          <w:rFonts w:ascii="Arial Black" w:hAnsi="Arial Black" w:cs="Arial"/>
          <w:b w:val="0"/>
          <w:bCs w:val="0"/>
          <w:color w:val="808080"/>
          <w:sz w:val="20"/>
        </w:rPr>
        <w:t xml:space="preserve"> THE PLAN</w:t>
      </w:r>
    </w:p>
    <w:p w:rsidR="00155C90" w:rsidRDefault="007241A1" w:rsidP="00155C90">
      <w:pPr>
        <w:pStyle w:val="NormalWeb"/>
        <w:spacing w:before="0" w:beforeAutospacing="0" w:after="0" w:afterAutospacing="0"/>
        <w:rPr>
          <w:rFonts w:ascii="Arial" w:hAnsi="Arial" w:cs="Arial"/>
          <w:sz w:val="20"/>
        </w:rPr>
      </w:pPr>
      <w:r>
        <w:rPr>
          <w:rFonts w:ascii="Arial" w:hAnsi="Arial" w:cs="Arial"/>
          <w:sz w:val="20"/>
        </w:rPr>
        <w:t>ABC</w:t>
      </w:r>
      <w:r w:rsidR="00155C90" w:rsidRPr="00045ABC">
        <w:rPr>
          <w:rFonts w:ascii="Arial" w:hAnsi="Arial" w:cs="Arial"/>
          <w:sz w:val="20"/>
        </w:rPr>
        <w:t xml:space="preserve"> </w:t>
      </w:r>
      <w:r w:rsidR="00155C90">
        <w:rPr>
          <w:rFonts w:ascii="Arial" w:hAnsi="Arial" w:cs="Arial"/>
          <w:sz w:val="20"/>
        </w:rPr>
        <w:t>(</w:t>
      </w:r>
      <w:r w:rsidR="00045ABC">
        <w:rPr>
          <w:rFonts w:ascii="Arial" w:hAnsi="Arial" w:cs="Arial"/>
          <w:sz w:val="20"/>
        </w:rPr>
        <w:t xml:space="preserve">the </w:t>
      </w:r>
      <w:r w:rsidR="00155C90">
        <w:rPr>
          <w:rFonts w:ascii="Arial" w:hAnsi="Arial" w:cs="Arial"/>
          <w:sz w:val="20"/>
        </w:rPr>
        <w:t xml:space="preserve">“Company”) sponsors a defined contribution plan (the “Plan”) for the benefit of its employees and their designated beneficiaries. The Company will appoint a Committee to fulfill the Company’s fiduciary duties in regards to Plan investments. The Plan is intended to provide participating employees the ability to create long-term accumulation of savings through </w:t>
      </w:r>
      <w:r w:rsidR="00155C90" w:rsidRPr="00AA3933">
        <w:rPr>
          <w:rFonts w:ascii="Arial" w:hAnsi="Arial" w:cs="Arial"/>
          <w:sz w:val="20"/>
        </w:rPr>
        <w:t>contributions</w:t>
      </w:r>
      <w:r w:rsidR="00155C90">
        <w:rPr>
          <w:rFonts w:ascii="Arial" w:hAnsi="Arial" w:cs="Arial"/>
          <w:sz w:val="20"/>
        </w:rPr>
        <w:t xml:space="preserve"> to individual participant accounts and the earnings thereon.</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 xml:space="preserve">The Plan is a qualified employee benefit plan intended to comply with all applicable federal laws and regulations, including section 401(a) of the Internal Revenue Code of 1986, as amended, and the Employee Retirement Income Security Act of 1974 (ERISA), as amended. In addition, the Plan is intended to comply with ERISA Section 404(c) and applicable Department of Labor regulations. </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The Plan’s participants and beneficiaries are expected to have different investment objectives, time horizons and risk tolerances. To meet these varying investment needs, participants and beneficiaries will be able to direct their account balances among a range of investment options to construct diversified portfolios that reasonably span the risk/return spectrum. Participants and beneficiaries alone bear the risk of gains or losses of their investment options and their asset allocation.</w:t>
      </w:r>
    </w:p>
    <w:p w:rsidR="00155C90" w:rsidRPr="00FE1C14" w:rsidRDefault="00155C90" w:rsidP="00155C90">
      <w:pPr>
        <w:pStyle w:val="NormalWeb"/>
        <w:spacing w:before="0" w:beforeAutospacing="0" w:after="0" w:afterAutospacing="0"/>
        <w:rPr>
          <w:rFonts w:ascii="Arial" w:hAnsi="Arial" w:cs="Arial"/>
          <w:sz w:val="20"/>
        </w:rPr>
      </w:pPr>
    </w:p>
    <w:p w:rsidR="00155C90" w:rsidRDefault="00155C90" w:rsidP="00155C90">
      <w:pPr>
        <w:pStyle w:val="Heading3"/>
        <w:spacing w:before="0" w:beforeAutospacing="0" w:after="0" w:afterAutospacing="0"/>
        <w:rPr>
          <w:rFonts w:ascii="Arial" w:hAnsi="Arial" w:cs="Arial"/>
          <w:color w:val="808080"/>
          <w:sz w:val="20"/>
        </w:rPr>
      </w:pPr>
      <w:r>
        <w:rPr>
          <w:rFonts w:ascii="Arial Black" w:hAnsi="Arial Black" w:cs="Arial"/>
          <w:b w:val="0"/>
          <w:bCs w:val="0"/>
          <w:color w:val="808080"/>
          <w:sz w:val="20"/>
        </w:rPr>
        <w:t>Part II. THE PURPOSE OF THE INVESTMENT POLICY STATEMENT</w:t>
      </w: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 xml:space="preserve">This Investment Policy Statement is intended to assist the Plan’s fiduciaries by establishing nonbinding guidelines for making investment-related decisions in a prudent manner. It outlines the underlying philosophies and processes for the selection, periodic monitoring and evaluation of the investment options offered by the Plan. </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Specifically, this Investment Policy Statement:</w:t>
      </w:r>
    </w:p>
    <w:p w:rsidR="00155C90" w:rsidRDefault="00155C90" w:rsidP="00155C90">
      <w:pPr>
        <w:pStyle w:val="NormalWeb"/>
        <w:spacing w:before="0" w:beforeAutospacing="0" w:after="0" w:afterAutospacing="0"/>
        <w:rPr>
          <w:rFonts w:ascii="Arial" w:hAnsi="Arial" w:cs="Arial"/>
          <w:sz w:val="16"/>
        </w:rPr>
      </w:pPr>
    </w:p>
    <w:p w:rsidR="00155C90" w:rsidRDefault="00155C90" w:rsidP="00155C90">
      <w:pPr>
        <w:numPr>
          <w:ilvl w:val="0"/>
          <w:numId w:val="1"/>
        </w:numPr>
        <w:spacing w:after="120"/>
        <w:rPr>
          <w:rFonts w:ascii="Arial" w:hAnsi="Arial" w:cs="Arial"/>
          <w:sz w:val="20"/>
        </w:rPr>
      </w:pPr>
      <w:r>
        <w:rPr>
          <w:rFonts w:ascii="Arial" w:hAnsi="Arial" w:cs="Arial"/>
          <w:sz w:val="20"/>
        </w:rPr>
        <w:t xml:space="preserve">Defines the Plan’s investment objectives. </w:t>
      </w:r>
    </w:p>
    <w:p w:rsidR="00155C90" w:rsidRDefault="00155C90" w:rsidP="00155C90">
      <w:pPr>
        <w:numPr>
          <w:ilvl w:val="0"/>
          <w:numId w:val="1"/>
        </w:numPr>
        <w:spacing w:after="120"/>
        <w:rPr>
          <w:rFonts w:ascii="Arial" w:hAnsi="Arial" w:cs="Arial"/>
          <w:sz w:val="20"/>
        </w:rPr>
      </w:pPr>
      <w:r>
        <w:rPr>
          <w:rFonts w:ascii="Arial" w:hAnsi="Arial" w:cs="Arial"/>
          <w:sz w:val="20"/>
        </w:rPr>
        <w:t xml:space="preserve">Defines the roles of those responsible for the Plan’s investments. </w:t>
      </w:r>
    </w:p>
    <w:p w:rsidR="00155C90" w:rsidRDefault="00155C90" w:rsidP="00155C90">
      <w:pPr>
        <w:numPr>
          <w:ilvl w:val="0"/>
          <w:numId w:val="1"/>
        </w:numPr>
        <w:spacing w:after="120"/>
        <w:rPr>
          <w:rFonts w:ascii="Arial" w:hAnsi="Arial" w:cs="Arial"/>
          <w:sz w:val="20"/>
        </w:rPr>
      </w:pPr>
      <w:r>
        <w:rPr>
          <w:rFonts w:ascii="Arial" w:hAnsi="Arial" w:cs="Arial"/>
          <w:sz w:val="20"/>
        </w:rPr>
        <w:t xml:space="preserve">Describes the criteria and procedures for selecting the investment options. </w:t>
      </w:r>
    </w:p>
    <w:p w:rsidR="00155C90" w:rsidRDefault="00155C90" w:rsidP="00155C90">
      <w:pPr>
        <w:numPr>
          <w:ilvl w:val="0"/>
          <w:numId w:val="1"/>
        </w:numPr>
        <w:spacing w:after="120"/>
        <w:rPr>
          <w:rFonts w:ascii="Arial" w:hAnsi="Arial" w:cs="Arial"/>
          <w:sz w:val="20"/>
        </w:rPr>
      </w:pPr>
      <w:r>
        <w:rPr>
          <w:rFonts w:ascii="Arial" w:hAnsi="Arial" w:cs="Arial"/>
          <w:sz w:val="20"/>
        </w:rPr>
        <w:t xml:space="preserve">Establishes investment procedures, measurement standards and monitoring procedures. </w:t>
      </w:r>
    </w:p>
    <w:p w:rsidR="00155C90" w:rsidRDefault="00155C90" w:rsidP="00155C90">
      <w:pPr>
        <w:numPr>
          <w:ilvl w:val="0"/>
          <w:numId w:val="1"/>
        </w:numPr>
        <w:spacing w:after="120"/>
        <w:rPr>
          <w:rFonts w:ascii="Arial" w:hAnsi="Arial" w:cs="Arial"/>
          <w:sz w:val="20"/>
        </w:rPr>
      </w:pPr>
      <w:r>
        <w:rPr>
          <w:rFonts w:ascii="Arial" w:hAnsi="Arial" w:cs="Arial"/>
          <w:sz w:val="20"/>
        </w:rPr>
        <w:t>Describes potential corrective actions the Committee can take should investment options (or their respective managers) fail to satisfy established objectives, if the Committee determines that such actions are prudent and advisable given the circumstances.</w:t>
      </w:r>
    </w:p>
    <w:p w:rsidR="00155C90" w:rsidRDefault="00155C90" w:rsidP="00155C90">
      <w:pPr>
        <w:numPr>
          <w:ilvl w:val="0"/>
          <w:numId w:val="1"/>
        </w:numPr>
        <w:spacing w:after="120"/>
        <w:rPr>
          <w:rFonts w:ascii="Arial" w:hAnsi="Arial" w:cs="Arial"/>
          <w:sz w:val="20"/>
        </w:rPr>
      </w:pPr>
      <w:r>
        <w:rPr>
          <w:rFonts w:ascii="Arial" w:hAnsi="Arial" w:cs="Arial"/>
          <w:sz w:val="20"/>
        </w:rPr>
        <w:t>Describes the types of educational materials to be provided to Plan participants and beneficiaries.</w:t>
      </w:r>
    </w:p>
    <w:p w:rsidR="00155C90" w:rsidRDefault="00155C90" w:rsidP="00155C90">
      <w:pPr>
        <w:numPr>
          <w:ilvl w:val="0"/>
          <w:numId w:val="1"/>
        </w:numPr>
        <w:rPr>
          <w:rFonts w:ascii="Arial" w:hAnsi="Arial" w:cs="Arial"/>
          <w:sz w:val="20"/>
        </w:rPr>
      </w:pPr>
      <w:r>
        <w:rPr>
          <w:rFonts w:ascii="Arial" w:hAnsi="Arial" w:cs="Arial"/>
          <w:sz w:val="20"/>
        </w:rPr>
        <w:t xml:space="preserve">Describes certain fiduciary obligations and related applicable laws and regulations. </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rPr>
          <w:rFonts w:ascii="Arial" w:hAnsi="Arial" w:cs="Arial"/>
          <w:sz w:val="20"/>
        </w:rPr>
      </w:pPr>
      <w:r>
        <w:rPr>
          <w:rFonts w:ascii="Arial" w:hAnsi="Arial" w:cs="Arial"/>
          <w:sz w:val="20"/>
        </w:rPr>
        <w:t>The guidelines provided in this Investment Policy Statement do not constitute a contract. These guidelines are also not meant to be a statement of mandatory requirements. Rather, these guidelines are only an explanation of general principles and guidelines being currently applied for investm</w:t>
      </w:r>
      <w:r w:rsidR="00157BA0">
        <w:rPr>
          <w:rFonts w:ascii="Arial" w:hAnsi="Arial" w:cs="Arial"/>
          <w:sz w:val="20"/>
        </w:rPr>
        <w:t>ent option selection, retention</w:t>
      </w:r>
      <w:r>
        <w:rPr>
          <w:rFonts w:ascii="Arial" w:hAnsi="Arial" w:cs="Arial"/>
          <w:sz w:val="20"/>
        </w:rPr>
        <w:t xml:space="preserve"> and replacement. Furthermore, these guidelines are not the sole factors considered by the Committee in the process.</w:t>
      </w:r>
      <w:r w:rsidRPr="00AB096E">
        <w:rPr>
          <w:rFonts w:ascii="Arial" w:hAnsi="Arial" w:cs="Arial"/>
          <w:sz w:val="20"/>
        </w:rPr>
        <w:t xml:space="preserve"> </w:t>
      </w:r>
      <w:r>
        <w:rPr>
          <w:rFonts w:ascii="Arial" w:hAnsi="Arial" w:cs="Arial"/>
          <w:sz w:val="20"/>
        </w:rPr>
        <w:t>This Investment Policy Statement is not intended to, and shall not be deemed to expand the fiduciary duties of the Committee, or its individual members, or to create duties that do not exist under ERISA.</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lastRenderedPageBreak/>
        <w:t>This Investment Policy Statement will be reviewed periodically, and, if appropriate, may be amended by the Committee at any time to reflect changes in the capital markets, Plan objectives, or other factors relevant to the Plan.</w:t>
      </w:r>
    </w:p>
    <w:p w:rsidR="00155C90" w:rsidRDefault="00155C90" w:rsidP="00155C90">
      <w:pPr>
        <w:pStyle w:val="NormalWeb"/>
        <w:spacing w:before="0" w:beforeAutospacing="0" w:after="0" w:afterAutospacing="0"/>
        <w:rPr>
          <w:rFonts w:ascii="Arial" w:hAnsi="Arial" w:cs="Arial"/>
          <w:sz w:val="20"/>
        </w:rPr>
      </w:pPr>
    </w:p>
    <w:p w:rsidR="00155C90" w:rsidRPr="00093F86" w:rsidRDefault="00155C90" w:rsidP="00155C90">
      <w:pPr>
        <w:pStyle w:val="NormalWeb"/>
        <w:spacing w:before="40" w:beforeAutospacing="0" w:after="40" w:afterAutospacing="0"/>
        <w:rPr>
          <w:rFonts w:ascii="Arial" w:hAnsi="Arial" w:cs="Arial"/>
          <w:sz w:val="20"/>
        </w:rPr>
      </w:pPr>
      <w:r>
        <w:rPr>
          <w:rFonts w:ascii="Arial" w:hAnsi="Arial" w:cs="Arial"/>
          <w:sz w:val="20"/>
        </w:rPr>
        <w:t xml:space="preserve">This Investment Policy Statement (including the criteria for the selection and monitoring of investment options under the Plan) does not apply to employer securities (also known as Company stock) if offered under the Plan.  </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Heading3"/>
        <w:spacing w:before="0" w:beforeAutospacing="0" w:after="0" w:afterAutospacing="0"/>
        <w:rPr>
          <w:rFonts w:ascii="Arial Black" w:hAnsi="Arial Black" w:cs="Arial"/>
          <w:b w:val="0"/>
          <w:bCs w:val="0"/>
          <w:color w:val="808080"/>
          <w:sz w:val="20"/>
        </w:rPr>
      </w:pPr>
      <w:r>
        <w:rPr>
          <w:rFonts w:ascii="Arial Black" w:hAnsi="Arial Black" w:cs="Arial"/>
          <w:b w:val="0"/>
          <w:bCs w:val="0"/>
          <w:color w:val="808080"/>
          <w:sz w:val="20"/>
        </w:rPr>
        <w:t>Part III. INVESTMENT OBJECTIVES</w:t>
      </w: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The Committee will select the Plan’s investment options based on criteria deemed relevant, from time to time, by the Committee. These criteria may include, but are not limited to, the following:</w:t>
      </w:r>
    </w:p>
    <w:p w:rsidR="00155C90" w:rsidRDefault="00155C90" w:rsidP="00155C90">
      <w:pPr>
        <w:rPr>
          <w:rFonts w:ascii="Arial" w:hAnsi="Arial" w:cs="Arial"/>
          <w:sz w:val="16"/>
        </w:rPr>
      </w:pPr>
    </w:p>
    <w:p w:rsidR="00155C90" w:rsidRPr="00837FCD" w:rsidRDefault="00155C90" w:rsidP="00155C90">
      <w:pPr>
        <w:pStyle w:val="ListParagraph"/>
        <w:numPr>
          <w:ilvl w:val="0"/>
          <w:numId w:val="36"/>
        </w:numPr>
        <w:spacing w:after="120"/>
        <w:rPr>
          <w:rFonts w:ascii="Arial" w:hAnsi="Arial" w:cs="Arial"/>
          <w:sz w:val="16"/>
        </w:rPr>
      </w:pPr>
      <w:r>
        <w:rPr>
          <w:rFonts w:ascii="Arial" w:hAnsi="Arial" w:cs="Arial"/>
        </w:rPr>
        <w:t>Maximization of return within reasonable and prudent levels of risk.</w:t>
      </w:r>
    </w:p>
    <w:p w:rsidR="00155C90" w:rsidRDefault="00155C90" w:rsidP="00155C90">
      <w:pPr>
        <w:numPr>
          <w:ilvl w:val="0"/>
          <w:numId w:val="2"/>
        </w:numPr>
        <w:spacing w:after="120"/>
        <w:rPr>
          <w:rFonts w:ascii="Arial" w:hAnsi="Arial" w:cs="Arial"/>
          <w:sz w:val="20"/>
        </w:rPr>
      </w:pPr>
      <w:r>
        <w:rPr>
          <w:rFonts w:ascii="Arial" w:hAnsi="Arial" w:cs="Arial"/>
          <w:sz w:val="20"/>
        </w:rPr>
        <w:t xml:space="preserve">Provision of returns comparable to returns for similar investment options. </w:t>
      </w:r>
    </w:p>
    <w:p w:rsidR="00155C90" w:rsidRDefault="00155C90" w:rsidP="00155C90">
      <w:pPr>
        <w:numPr>
          <w:ilvl w:val="0"/>
          <w:numId w:val="2"/>
        </w:numPr>
        <w:spacing w:after="120"/>
        <w:rPr>
          <w:rFonts w:ascii="Arial" w:hAnsi="Arial" w:cs="Arial"/>
          <w:sz w:val="20"/>
        </w:rPr>
      </w:pPr>
      <w:r>
        <w:rPr>
          <w:rFonts w:ascii="Arial" w:hAnsi="Arial" w:cs="Arial"/>
          <w:sz w:val="20"/>
        </w:rPr>
        <w:t xml:space="preserve">Provision of exposure to a wide range of investment opportunities in various asset classes and vehicles. </w:t>
      </w:r>
    </w:p>
    <w:p w:rsidR="00155C90" w:rsidRDefault="00155C90" w:rsidP="00155C90">
      <w:pPr>
        <w:numPr>
          <w:ilvl w:val="0"/>
          <w:numId w:val="2"/>
        </w:numPr>
        <w:spacing w:after="120"/>
        <w:rPr>
          <w:rFonts w:ascii="Arial" w:hAnsi="Arial" w:cs="Arial"/>
          <w:sz w:val="20"/>
        </w:rPr>
      </w:pPr>
      <w:r>
        <w:rPr>
          <w:rFonts w:ascii="Arial" w:hAnsi="Arial" w:cs="Arial"/>
          <w:sz w:val="20"/>
        </w:rPr>
        <w:t xml:space="preserve">Control administrative and management fees. </w:t>
      </w:r>
    </w:p>
    <w:p w:rsidR="00155C90" w:rsidRDefault="00155C90" w:rsidP="00155C90">
      <w:pPr>
        <w:numPr>
          <w:ilvl w:val="0"/>
          <w:numId w:val="2"/>
        </w:numPr>
        <w:spacing w:after="120"/>
        <w:rPr>
          <w:rFonts w:ascii="Arial" w:hAnsi="Arial" w:cs="Arial"/>
          <w:sz w:val="20"/>
        </w:rPr>
      </w:pPr>
      <w:r>
        <w:rPr>
          <w:rFonts w:ascii="Arial" w:hAnsi="Arial" w:cs="Arial"/>
          <w:sz w:val="20"/>
        </w:rPr>
        <w:t>Provision of appropriate diversification within investment vehicles.</w:t>
      </w:r>
    </w:p>
    <w:p w:rsidR="00155C90" w:rsidRDefault="00155C90" w:rsidP="00155C90">
      <w:pPr>
        <w:numPr>
          <w:ilvl w:val="0"/>
          <w:numId w:val="2"/>
        </w:numPr>
        <w:rPr>
          <w:rFonts w:ascii="Arial" w:hAnsi="Arial" w:cs="Arial"/>
          <w:sz w:val="20"/>
        </w:rPr>
      </w:pPr>
      <w:r>
        <w:rPr>
          <w:rFonts w:ascii="Arial" w:hAnsi="Arial" w:cs="Arial"/>
          <w:sz w:val="20"/>
        </w:rPr>
        <w:t xml:space="preserve">Investment’s adherence to stated investment objectives and style. </w:t>
      </w:r>
    </w:p>
    <w:p w:rsidR="00155C90" w:rsidRDefault="00155C90" w:rsidP="00155C90">
      <w:pPr>
        <w:ind w:left="360"/>
        <w:rPr>
          <w:rFonts w:ascii="Arial" w:hAnsi="Arial" w:cs="Arial"/>
          <w:sz w:val="20"/>
        </w:rPr>
      </w:pPr>
    </w:p>
    <w:p w:rsidR="00155C90" w:rsidRDefault="00155C90" w:rsidP="00155C90">
      <w:pPr>
        <w:pStyle w:val="Heading3"/>
        <w:spacing w:before="0" w:beforeAutospacing="0" w:after="0" w:afterAutospacing="0"/>
        <w:rPr>
          <w:rFonts w:ascii="Arial Black" w:hAnsi="Arial Black" w:cs="Arial"/>
          <w:b w:val="0"/>
          <w:bCs w:val="0"/>
          <w:color w:val="808080"/>
          <w:sz w:val="20"/>
        </w:rPr>
      </w:pPr>
      <w:r>
        <w:rPr>
          <w:rFonts w:ascii="Arial Black" w:hAnsi="Arial Black" w:cs="Arial"/>
          <w:b w:val="0"/>
          <w:bCs w:val="0"/>
          <w:color w:val="808080"/>
          <w:sz w:val="20"/>
        </w:rPr>
        <w:t>Part IV. ROLES AND RESPONSIBILITIES</w:t>
      </w: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Subject to the terms of the Plan document, the Committee is responsible for selecting the trustee(s); hiring the recordkeeper; hiring the investment consultant; selecting the investment options, and selecting an investment(s) for default(s) when a participant or beneficiary fails to provide investment direction. The Committee is also responsible for:</w:t>
      </w:r>
    </w:p>
    <w:p w:rsidR="00155C90" w:rsidRDefault="00155C90" w:rsidP="00155C90">
      <w:pPr>
        <w:pStyle w:val="NormalWeb"/>
        <w:spacing w:before="0" w:beforeAutospacing="0" w:after="0" w:afterAutospacing="0"/>
        <w:rPr>
          <w:rFonts w:ascii="Arial" w:hAnsi="Arial" w:cs="Arial"/>
          <w:sz w:val="16"/>
        </w:rPr>
      </w:pPr>
    </w:p>
    <w:p w:rsidR="00155C90" w:rsidRDefault="00155C90" w:rsidP="00155C90">
      <w:pPr>
        <w:numPr>
          <w:ilvl w:val="0"/>
          <w:numId w:val="3"/>
        </w:numPr>
        <w:spacing w:after="120"/>
        <w:rPr>
          <w:rFonts w:ascii="Arial" w:hAnsi="Arial" w:cs="Arial"/>
          <w:sz w:val="20"/>
        </w:rPr>
      </w:pPr>
      <w:r>
        <w:rPr>
          <w:rFonts w:ascii="Arial" w:hAnsi="Arial" w:cs="Arial"/>
          <w:sz w:val="20"/>
        </w:rPr>
        <w:t>Establishing and maintaining the Investment Policy Statement.</w:t>
      </w:r>
    </w:p>
    <w:p w:rsidR="00155C90" w:rsidRDefault="00155C90" w:rsidP="00155C90">
      <w:pPr>
        <w:numPr>
          <w:ilvl w:val="0"/>
          <w:numId w:val="3"/>
        </w:numPr>
        <w:spacing w:after="120"/>
        <w:rPr>
          <w:rFonts w:ascii="Arial" w:hAnsi="Arial" w:cs="Arial"/>
          <w:sz w:val="20"/>
        </w:rPr>
      </w:pPr>
      <w:r>
        <w:rPr>
          <w:rFonts w:ascii="Arial" w:hAnsi="Arial" w:cs="Arial"/>
          <w:sz w:val="20"/>
        </w:rPr>
        <w:t>Periodically evaluating the Plan’s investments’ performances and considering investment option changes.</w:t>
      </w:r>
    </w:p>
    <w:p w:rsidR="00155C90" w:rsidRDefault="00155C90" w:rsidP="00155C90">
      <w:pPr>
        <w:numPr>
          <w:ilvl w:val="0"/>
          <w:numId w:val="3"/>
        </w:numPr>
        <w:spacing w:after="120"/>
        <w:rPr>
          <w:rFonts w:ascii="Arial" w:hAnsi="Arial" w:cs="Arial"/>
          <w:sz w:val="20"/>
        </w:rPr>
      </w:pPr>
      <w:r>
        <w:rPr>
          <w:rFonts w:ascii="Arial" w:hAnsi="Arial" w:cs="Arial"/>
          <w:sz w:val="20"/>
        </w:rPr>
        <w:t>Periodically monitoring the performance and fees charged by service providers.</w:t>
      </w:r>
    </w:p>
    <w:p w:rsidR="00155C90" w:rsidRDefault="00155C90" w:rsidP="00155C90">
      <w:pPr>
        <w:numPr>
          <w:ilvl w:val="0"/>
          <w:numId w:val="3"/>
        </w:numPr>
        <w:spacing w:after="120"/>
        <w:rPr>
          <w:rFonts w:ascii="Arial" w:hAnsi="Arial" w:cs="Arial"/>
          <w:sz w:val="20"/>
        </w:rPr>
      </w:pPr>
      <w:bookmarkStart w:id="0" w:name="OLE_LINK1"/>
      <w:bookmarkStart w:id="1" w:name="OLE_LINK2"/>
      <w:r>
        <w:rPr>
          <w:rFonts w:ascii="Arial" w:hAnsi="Arial" w:cs="Arial"/>
          <w:sz w:val="20"/>
        </w:rPr>
        <w:t>Periodically monitoring any other Plan fees.</w:t>
      </w:r>
    </w:p>
    <w:bookmarkEnd w:id="0"/>
    <w:bookmarkEnd w:id="1"/>
    <w:p w:rsidR="00155C90" w:rsidRDefault="00155C90" w:rsidP="00155C90">
      <w:pPr>
        <w:numPr>
          <w:ilvl w:val="0"/>
          <w:numId w:val="3"/>
        </w:numPr>
        <w:rPr>
          <w:rFonts w:ascii="Arial" w:hAnsi="Arial" w:cs="Arial"/>
          <w:sz w:val="20"/>
        </w:rPr>
      </w:pPr>
      <w:r>
        <w:rPr>
          <w:rFonts w:ascii="Arial" w:hAnsi="Arial" w:cs="Arial"/>
          <w:sz w:val="20"/>
        </w:rPr>
        <w:t xml:space="preserve">Providing for Plan participant investment education and communication. </w:t>
      </w:r>
    </w:p>
    <w:p w:rsidR="00155C90" w:rsidRDefault="00155C90" w:rsidP="00155C90">
      <w:pPr>
        <w:rPr>
          <w:rFonts w:ascii="Arial" w:hAnsi="Arial" w:cs="Arial"/>
          <w:sz w:val="20"/>
        </w:rPr>
      </w:pPr>
    </w:p>
    <w:p w:rsidR="00155C90" w:rsidRDefault="00155C90" w:rsidP="00155C90">
      <w:pPr>
        <w:rPr>
          <w:rFonts w:ascii="Arial" w:hAnsi="Arial" w:cs="Arial"/>
          <w:sz w:val="20"/>
        </w:rPr>
      </w:pPr>
      <w:r>
        <w:rPr>
          <w:rFonts w:ascii="Arial" w:hAnsi="Arial" w:cs="Arial"/>
          <w:sz w:val="20"/>
        </w:rPr>
        <w:t>In executing its responsibilities, the Committee will make decisions in accordance with all applicable fiduciary standards of ERISA Section 404(a) as follows:</w:t>
      </w:r>
    </w:p>
    <w:p w:rsidR="00155C90" w:rsidRDefault="00155C90" w:rsidP="00155C90">
      <w:pPr>
        <w:rPr>
          <w:rFonts w:ascii="Arial" w:hAnsi="Arial" w:cs="Arial"/>
          <w:sz w:val="20"/>
        </w:rPr>
      </w:pPr>
    </w:p>
    <w:p w:rsidR="00155C90" w:rsidRDefault="00155C90" w:rsidP="00155C90">
      <w:pPr>
        <w:pStyle w:val="ListParagraph"/>
        <w:numPr>
          <w:ilvl w:val="0"/>
          <w:numId w:val="31"/>
        </w:numPr>
        <w:spacing w:after="120"/>
        <w:contextualSpacing w:val="0"/>
        <w:rPr>
          <w:rFonts w:ascii="Arial" w:hAnsi="Arial" w:cs="Arial"/>
        </w:rPr>
      </w:pPr>
      <w:r>
        <w:rPr>
          <w:rFonts w:ascii="Arial" w:hAnsi="Arial" w:cs="Arial"/>
        </w:rPr>
        <w:t>S</w:t>
      </w:r>
      <w:r w:rsidRPr="00155C90">
        <w:rPr>
          <w:rFonts w:ascii="Arial" w:hAnsi="Arial" w:cs="Arial"/>
        </w:rPr>
        <w:t xml:space="preserve">olely in the interest of </w:t>
      </w:r>
      <w:r>
        <w:rPr>
          <w:rFonts w:ascii="Arial" w:hAnsi="Arial" w:cs="Arial"/>
        </w:rPr>
        <w:t>Plan</w:t>
      </w:r>
      <w:r w:rsidRPr="00155C90">
        <w:rPr>
          <w:rFonts w:ascii="Arial" w:hAnsi="Arial" w:cs="Arial"/>
        </w:rPr>
        <w:t xml:space="preserve"> participants and beneficiaries, for the exclusive purpose of providing </w:t>
      </w:r>
      <w:r>
        <w:rPr>
          <w:rFonts w:ascii="Arial" w:hAnsi="Arial" w:cs="Arial"/>
        </w:rPr>
        <w:t>Plan</w:t>
      </w:r>
      <w:r w:rsidRPr="00155C90">
        <w:rPr>
          <w:rFonts w:ascii="Arial" w:hAnsi="Arial" w:cs="Arial"/>
        </w:rPr>
        <w:t xml:space="preserve"> benefits and defraying reasonable administrative </w:t>
      </w:r>
      <w:r>
        <w:rPr>
          <w:rFonts w:ascii="Arial" w:hAnsi="Arial" w:cs="Arial"/>
        </w:rPr>
        <w:t>fee</w:t>
      </w:r>
      <w:r w:rsidRPr="00155C90">
        <w:rPr>
          <w:rFonts w:ascii="Arial" w:hAnsi="Arial" w:cs="Arial"/>
        </w:rPr>
        <w:t>s</w:t>
      </w:r>
      <w:r>
        <w:rPr>
          <w:rFonts w:ascii="Arial" w:hAnsi="Arial" w:cs="Arial"/>
        </w:rPr>
        <w:t>;</w:t>
      </w:r>
    </w:p>
    <w:p w:rsidR="00155C90" w:rsidRDefault="00155C90" w:rsidP="00155C90">
      <w:pPr>
        <w:pStyle w:val="ListParagraph"/>
        <w:numPr>
          <w:ilvl w:val="0"/>
          <w:numId w:val="31"/>
        </w:numPr>
        <w:spacing w:after="120"/>
        <w:contextualSpacing w:val="0"/>
        <w:rPr>
          <w:rFonts w:ascii="Arial" w:hAnsi="Arial" w:cs="Arial"/>
        </w:rPr>
      </w:pPr>
      <w:r>
        <w:rPr>
          <w:rFonts w:ascii="Arial" w:hAnsi="Arial" w:cs="Arial"/>
        </w:rPr>
        <w:t>With the care, skill, prudence and diligence under the circumstances then prevailing that a prudent person acting in like capacity and familiar with such matters would use in the conduct of an enterprise of a like character and of like aims; and</w:t>
      </w:r>
    </w:p>
    <w:p w:rsidR="00155C90" w:rsidRDefault="00155C90" w:rsidP="00155C90">
      <w:pPr>
        <w:pStyle w:val="ListParagraph"/>
        <w:numPr>
          <w:ilvl w:val="0"/>
          <w:numId w:val="31"/>
        </w:numPr>
        <w:rPr>
          <w:rFonts w:ascii="Arial" w:hAnsi="Arial" w:cs="Arial"/>
        </w:rPr>
      </w:pPr>
      <w:r>
        <w:rPr>
          <w:rFonts w:ascii="Arial" w:hAnsi="Arial" w:cs="Arial"/>
        </w:rPr>
        <w:t>In accordance with the documents and instruments governing the Plan insofar as such documents and instruments are consistent with the provisions of ERISA.</w:t>
      </w:r>
    </w:p>
    <w:p w:rsidR="00155C90" w:rsidRDefault="00155C90" w:rsidP="00155C90">
      <w:pPr>
        <w:rPr>
          <w:rFonts w:ascii="Arial" w:hAnsi="Arial" w:cs="Arial"/>
        </w:rPr>
      </w:pPr>
    </w:p>
    <w:p w:rsidR="00155C90" w:rsidRPr="00155C90" w:rsidRDefault="00155C90" w:rsidP="00155C90">
      <w:pPr>
        <w:rPr>
          <w:rFonts w:ascii="Arial" w:hAnsi="Arial" w:cs="Arial"/>
          <w:sz w:val="20"/>
          <w:szCs w:val="20"/>
        </w:rPr>
      </w:pPr>
      <w:r w:rsidRPr="00155C90">
        <w:rPr>
          <w:rFonts w:ascii="Arial" w:hAnsi="Arial" w:cs="Arial"/>
          <w:sz w:val="20"/>
          <w:szCs w:val="20"/>
        </w:rPr>
        <w:t>All investments selected by the Committee are intended to meet requirements of ERISA section 404(c).</w:t>
      </w:r>
    </w:p>
    <w:p w:rsidR="00155C90" w:rsidRPr="00CA58C4" w:rsidRDefault="00155C90" w:rsidP="00155C90">
      <w:pPr>
        <w:spacing w:before="20" w:after="20"/>
        <w:rPr>
          <w:rFonts w:ascii="Arial" w:hAnsi="Arial"/>
          <w:sz w:val="20"/>
          <w:szCs w:val="20"/>
        </w:rPr>
      </w:pPr>
    </w:p>
    <w:p w:rsidR="00155C90" w:rsidRDefault="00155C90" w:rsidP="00155C90">
      <w:pPr>
        <w:spacing w:before="20" w:after="20"/>
        <w:rPr>
          <w:rFonts w:ascii="Arial Black" w:hAnsi="Arial Black"/>
          <w:color w:val="808080"/>
          <w:sz w:val="20"/>
          <w:szCs w:val="20"/>
        </w:rPr>
      </w:pPr>
      <w:r>
        <w:rPr>
          <w:rFonts w:ascii="Arial Black" w:hAnsi="Arial Black"/>
          <w:color w:val="808080"/>
          <w:sz w:val="20"/>
          <w:szCs w:val="20"/>
        </w:rPr>
        <w:t>Part V. MONITORING OF SERVICE PROVIDERS</w:t>
      </w:r>
      <w:r w:rsidRPr="003027AD">
        <w:rPr>
          <w:rFonts w:ascii="Arial Black" w:hAnsi="Arial Black"/>
          <w:color w:val="808080"/>
          <w:sz w:val="20"/>
          <w:szCs w:val="20"/>
        </w:rPr>
        <w:t xml:space="preserve"> </w:t>
      </w:r>
    </w:p>
    <w:p w:rsidR="00155C90" w:rsidRDefault="00155C90" w:rsidP="00155C90">
      <w:pPr>
        <w:spacing w:before="20" w:after="20"/>
        <w:rPr>
          <w:rFonts w:ascii="Arial" w:hAnsi="Arial" w:cs="Arial"/>
          <w:sz w:val="20"/>
          <w:szCs w:val="20"/>
        </w:rPr>
      </w:pPr>
      <w:r>
        <w:rPr>
          <w:rFonts w:ascii="Arial" w:hAnsi="Arial" w:cs="Arial"/>
          <w:sz w:val="20"/>
          <w:szCs w:val="20"/>
        </w:rPr>
        <w:t>Service</w:t>
      </w:r>
      <w:r w:rsidRPr="007F46D1">
        <w:rPr>
          <w:rFonts w:ascii="Arial" w:hAnsi="Arial" w:cs="Arial"/>
          <w:sz w:val="20"/>
          <w:szCs w:val="20"/>
        </w:rPr>
        <w:t xml:space="preserve"> providers</w:t>
      </w:r>
      <w:r>
        <w:rPr>
          <w:rFonts w:ascii="Arial" w:hAnsi="Arial" w:cs="Arial"/>
          <w:sz w:val="20"/>
          <w:szCs w:val="20"/>
        </w:rPr>
        <w:t xml:space="preserve"> should</w:t>
      </w:r>
      <w:r w:rsidRPr="007F46D1">
        <w:rPr>
          <w:rFonts w:ascii="Arial" w:hAnsi="Arial" w:cs="Arial"/>
          <w:sz w:val="20"/>
          <w:szCs w:val="20"/>
        </w:rPr>
        <w:t xml:space="preserve"> be monitored on a</w:t>
      </w:r>
      <w:r>
        <w:rPr>
          <w:rFonts w:ascii="Arial" w:hAnsi="Arial" w:cs="Arial"/>
          <w:sz w:val="20"/>
          <w:szCs w:val="20"/>
        </w:rPr>
        <w:t>n ongoing and regular</w:t>
      </w:r>
      <w:r w:rsidRPr="007F46D1">
        <w:rPr>
          <w:rFonts w:ascii="Arial" w:hAnsi="Arial" w:cs="Arial"/>
          <w:sz w:val="20"/>
          <w:szCs w:val="20"/>
        </w:rPr>
        <w:t xml:space="preserve"> basis</w:t>
      </w:r>
      <w:r>
        <w:rPr>
          <w:rFonts w:ascii="Arial" w:hAnsi="Arial" w:cs="Arial"/>
          <w:sz w:val="20"/>
          <w:szCs w:val="20"/>
        </w:rPr>
        <w:t xml:space="preserve">. Administrative and/or recordkeeping service providers may be benchmarked against, but not limited to, industry averages and/or other provider </w:t>
      </w:r>
      <w:r>
        <w:rPr>
          <w:rFonts w:ascii="Arial" w:hAnsi="Arial" w:cs="Arial"/>
          <w:sz w:val="20"/>
          <w:szCs w:val="20"/>
        </w:rPr>
        <w:lastRenderedPageBreak/>
        <w:t>quotes. Monitoring for these service providers should include, but not be limited to, an evaluation of the provider’s:</w:t>
      </w:r>
    </w:p>
    <w:p w:rsidR="00155C90" w:rsidRDefault="00155C90" w:rsidP="00155C90">
      <w:pPr>
        <w:spacing w:before="20"/>
        <w:rPr>
          <w:rFonts w:ascii="Arial" w:hAnsi="Arial" w:cs="Arial"/>
          <w:sz w:val="20"/>
          <w:szCs w:val="20"/>
        </w:rPr>
      </w:pPr>
    </w:p>
    <w:p w:rsidR="00155C90" w:rsidRDefault="00155C90" w:rsidP="00155C90">
      <w:pPr>
        <w:numPr>
          <w:ilvl w:val="0"/>
          <w:numId w:val="3"/>
        </w:numPr>
        <w:rPr>
          <w:rFonts w:ascii="Arial" w:hAnsi="Arial" w:cs="Arial"/>
          <w:sz w:val="20"/>
        </w:rPr>
      </w:pPr>
      <w:r>
        <w:rPr>
          <w:rFonts w:ascii="Arial" w:hAnsi="Arial" w:cs="Arial"/>
          <w:sz w:val="20"/>
        </w:rPr>
        <w:t>Investment offerings and services</w:t>
      </w:r>
    </w:p>
    <w:p w:rsidR="00155C90" w:rsidRDefault="00155C90" w:rsidP="00155C90">
      <w:pPr>
        <w:numPr>
          <w:ilvl w:val="0"/>
          <w:numId w:val="3"/>
        </w:numPr>
        <w:rPr>
          <w:rFonts w:ascii="Arial" w:hAnsi="Arial" w:cs="Arial"/>
          <w:sz w:val="20"/>
        </w:rPr>
      </w:pPr>
      <w:r>
        <w:rPr>
          <w:rFonts w:ascii="Arial" w:hAnsi="Arial" w:cs="Arial"/>
          <w:sz w:val="20"/>
        </w:rPr>
        <w:t>Recordkeeping technology and services</w:t>
      </w:r>
    </w:p>
    <w:p w:rsidR="00155C90" w:rsidRDefault="00155C90" w:rsidP="00155C90">
      <w:pPr>
        <w:numPr>
          <w:ilvl w:val="0"/>
          <w:numId w:val="3"/>
        </w:numPr>
        <w:rPr>
          <w:rFonts w:ascii="Arial" w:hAnsi="Arial" w:cs="Arial"/>
          <w:sz w:val="20"/>
        </w:rPr>
      </w:pPr>
      <w:r>
        <w:rPr>
          <w:rFonts w:ascii="Arial" w:hAnsi="Arial" w:cs="Arial"/>
          <w:sz w:val="20"/>
        </w:rPr>
        <w:t>Compliance services and support</w:t>
      </w:r>
    </w:p>
    <w:p w:rsidR="00155C90" w:rsidRDefault="00155C90" w:rsidP="00155C90">
      <w:pPr>
        <w:numPr>
          <w:ilvl w:val="0"/>
          <w:numId w:val="3"/>
        </w:numPr>
        <w:rPr>
          <w:rFonts w:ascii="Arial" w:hAnsi="Arial" w:cs="Arial"/>
          <w:sz w:val="20"/>
        </w:rPr>
      </w:pPr>
      <w:r>
        <w:rPr>
          <w:rFonts w:ascii="Arial" w:hAnsi="Arial" w:cs="Arial"/>
          <w:sz w:val="20"/>
        </w:rPr>
        <w:t>Technology</w:t>
      </w:r>
    </w:p>
    <w:p w:rsidR="00155C90" w:rsidRDefault="00155C90" w:rsidP="00155C90">
      <w:pPr>
        <w:numPr>
          <w:ilvl w:val="0"/>
          <w:numId w:val="3"/>
        </w:numPr>
        <w:rPr>
          <w:rFonts w:ascii="Arial" w:hAnsi="Arial" w:cs="Arial"/>
          <w:sz w:val="20"/>
        </w:rPr>
      </w:pPr>
      <w:r>
        <w:rPr>
          <w:rFonts w:ascii="Arial" w:hAnsi="Arial" w:cs="Arial"/>
          <w:sz w:val="20"/>
        </w:rPr>
        <w:t>Participant access and communications</w:t>
      </w:r>
    </w:p>
    <w:p w:rsidR="00155C90" w:rsidRDefault="00155C90" w:rsidP="00155C90">
      <w:pPr>
        <w:numPr>
          <w:ilvl w:val="0"/>
          <w:numId w:val="3"/>
        </w:numPr>
        <w:rPr>
          <w:rFonts w:ascii="Arial" w:hAnsi="Arial" w:cs="Arial"/>
          <w:sz w:val="20"/>
        </w:rPr>
      </w:pPr>
      <w:r>
        <w:rPr>
          <w:rFonts w:ascii="Arial" w:hAnsi="Arial" w:cs="Arial"/>
          <w:sz w:val="20"/>
        </w:rPr>
        <w:t>Fees</w:t>
      </w:r>
    </w:p>
    <w:p w:rsidR="00155C90" w:rsidRDefault="00155C90" w:rsidP="00155C90">
      <w:pPr>
        <w:spacing w:before="20" w:after="20"/>
        <w:rPr>
          <w:rFonts w:ascii="Arial" w:hAnsi="Arial" w:cs="Arial"/>
          <w:sz w:val="20"/>
          <w:szCs w:val="20"/>
        </w:rPr>
      </w:pPr>
    </w:p>
    <w:p w:rsidR="00155C90" w:rsidRPr="007F46D1" w:rsidRDefault="00155C90" w:rsidP="00155C90">
      <w:pPr>
        <w:spacing w:before="20" w:after="20"/>
        <w:rPr>
          <w:rFonts w:ascii="Arial" w:hAnsi="Arial"/>
          <w:sz w:val="20"/>
          <w:szCs w:val="20"/>
        </w:rPr>
      </w:pPr>
      <w:r>
        <w:rPr>
          <w:rFonts w:ascii="Arial" w:hAnsi="Arial" w:cs="Arial"/>
          <w:sz w:val="20"/>
          <w:szCs w:val="20"/>
        </w:rPr>
        <w:t>The ongoing monitoring of the Plan’s service providers is to ensure that total Plan fees, services and investment opportunities</w:t>
      </w:r>
      <w:r>
        <w:rPr>
          <w:rFonts w:ascii="Arial" w:hAnsi="Arial"/>
          <w:sz w:val="20"/>
          <w:szCs w:val="20"/>
        </w:rPr>
        <w:t xml:space="preserve"> are competitive and reasonable.</w:t>
      </w:r>
    </w:p>
    <w:p w:rsidR="00155C90" w:rsidRDefault="00155C90" w:rsidP="00155C90">
      <w:pPr>
        <w:spacing w:before="20" w:after="20"/>
        <w:rPr>
          <w:rFonts w:ascii="Arial" w:hAnsi="Arial"/>
        </w:rPr>
      </w:pPr>
    </w:p>
    <w:p w:rsidR="00155C90" w:rsidRDefault="00155C90" w:rsidP="00155C90">
      <w:pPr>
        <w:spacing w:before="20" w:after="20"/>
        <w:rPr>
          <w:rFonts w:ascii="Arial" w:hAnsi="Arial"/>
          <w:sz w:val="20"/>
          <w:szCs w:val="20"/>
        </w:rPr>
      </w:pPr>
      <w:r>
        <w:rPr>
          <w:rFonts w:ascii="Arial" w:hAnsi="Arial"/>
          <w:sz w:val="20"/>
          <w:szCs w:val="20"/>
        </w:rPr>
        <w:t>Investment consultant service providers (Plan and participant level) should be monitored regularly and the evaluation should include, but not be limited to, consideration of the provider’s:</w:t>
      </w:r>
    </w:p>
    <w:p w:rsidR="00155C90" w:rsidRDefault="00155C90" w:rsidP="00155C90">
      <w:pPr>
        <w:spacing w:before="20" w:after="20"/>
        <w:rPr>
          <w:rFonts w:ascii="Arial" w:hAnsi="Arial"/>
          <w:sz w:val="20"/>
          <w:szCs w:val="20"/>
        </w:rPr>
      </w:pPr>
    </w:p>
    <w:p w:rsidR="00155C90" w:rsidRDefault="00155C90" w:rsidP="00155C90">
      <w:pPr>
        <w:numPr>
          <w:ilvl w:val="0"/>
          <w:numId w:val="3"/>
        </w:numPr>
        <w:rPr>
          <w:rFonts w:ascii="Arial" w:hAnsi="Arial" w:cs="Arial"/>
          <w:sz w:val="20"/>
        </w:rPr>
      </w:pPr>
      <w:r>
        <w:rPr>
          <w:rFonts w:ascii="Arial" w:hAnsi="Arial" w:cs="Arial"/>
          <w:sz w:val="20"/>
        </w:rPr>
        <w:t>Investment due diligence processes</w:t>
      </w:r>
    </w:p>
    <w:p w:rsidR="00155C90" w:rsidRDefault="00155C90" w:rsidP="00155C90">
      <w:pPr>
        <w:numPr>
          <w:ilvl w:val="0"/>
          <w:numId w:val="3"/>
        </w:numPr>
        <w:rPr>
          <w:rFonts w:ascii="Arial" w:hAnsi="Arial" w:cs="Arial"/>
          <w:sz w:val="20"/>
        </w:rPr>
      </w:pPr>
      <w:r>
        <w:rPr>
          <w:rFonts w:ascii="Arial" w:hAnsi="Arial" w:cs="Arial"/>
          <w:sz w:val="20"/>
        </w:rPr>
        <w:t>Fiduciary guidance and services</w:t>
      </w:r>
    </w:p>
    <w:p w:rsidR="00155C90" w:rsidRDefault="00155C90" w:rsidP="00155C90">
      <w:pPr>
        <w:numPr>
          <w:ilvl w:val="0"/>
          <w:numId w:val="3"/>
        </w:numPr>
        <w:rPr>
          <w:rFonts w:ascii="Arial" w:hAnsi="Arial" w:cs="Arial"/>
          <w:sz w:val="20"/>
        </w:rPr>
      </w:pPr>
      <w:r>
        <w:rPr>
          <w:rFonts w:ascii="Arial" w:hAnsi="Arial" w:cs="Arial"/>
          <w:sz w:val="20"/>
        </w:rPr>
        <w:t>RFP/Benchmarking scope and services</w:t>
      </w:r>
    </w:p>
    <w:p w:rsidR="00155C90" w:rsidRDefault="00155C90" w:rsidP="00155C90">
      <w:pPr>
        <w:numPr>
          <w:ilvl w:val="0"/>
          <w:numId w:val="3"/>
        </w:numPr>
        <w:rPr>
          <w:rFonts w:ascii="Arial" w:hAnsi="Arial" w:cs="Arial"/>
          <w:sz w:val="20"/>
        </w:rPr>
      </w:pPr>
      <w:r>
        <w:rPr>
          <w:rFonts w:ascii="Arial" w:hAnsi="Arial" w:cs="Arial"/>
          <w:sz w:val="20"/>
        </w:rPr>
        <w:t>Technology</w:t>
      </w:r>
    </w:p>
    <w:p w:rsidR="00155C90" w:rsidRDefault="00155C90" w:rsidP="00155C90">
      <w:pPr>
        <w:numPr>
          <w:ilvl w:val="0"/>
          <w:numId w:val="3"/>
        </w:numPr>
        <w:rPr>
          <w:rFonts w:ascii="Arial" w:hAnsi="Arial" w:cs="Arial"/>
          <w:sz w:val="20"/>
        </w:rPr>
      </w:pPr>
      <w:r>
        <w:rPr>
          <w:rFonts w:ascii="Arial" w:hAnsi="Arial" w:cs="Arial"/>
          <w:sz w:val="20"/>
        </w:rPr>
        <w:t>Participant-level access, communications and advice (if applicable)</w:t>
      </w:r>
    </w:p>
    <w:p w:rsidR="00155C90" w:rsidRDefault="00155C90" w:rsidP="00155C90">
      <w:pPr>
        <w:numPr>
          <w:ilvl w:val="0"/>
          <w:numId w:val="3"/>
        </w:numPr>
        <w:rPr>
          <w:rFonts w:ascii="Arial" w:hAnsi="Arial" w:cs="Arial"/>
          <w:sz w:val="20"/>
        </w:rPr>
      </w:pPr>
      <w:r>
        <w:rPr>
          <w:rFonts w:ascii="Arial" w:hAnsi="Arial" w:cs="Arial"/>
          <w:sz w:val="20"/>
        </w:rPr>
        <w:t>Fees</w:t>
      </w:r>
    </w:p>
    <w:p w:rsidR="00155C90" w:rsidRDefault="00155C90" w:rsidP="00155C90">
      <w:pPr>
        <w:spacing w:before="20" w:after="20"/>
        <w:rPr>
          <w:rFonts w:ascii="Arial Black" w:hAnsi="Arial Black"/>
          <w:color w:val="808080"/>
          <w:sz w:val="20"/>
          <w:szCs w:val="20"/>
        </w:rPr>
      </w:pPr>
    </w:p>
    <w:p w:rsidR="00155C90" w:rsidRPr="003027AD" w:rsidRDefault="00155C90" w:rsidP="00155C90">
      <w:pPr>
        <w:spacing w:before="20" w:after="20"/>
        <w:rPr>
          <w:rFonts w:ascii="Arial Black" w:hAnsi="Arial Black"/>
          <w:color w:val="808080"/>
          <w:sz w:val="20"/>
          <w:szCs w:val="20"/>
        </w:rPr>
      </w:pPr>
      <w:r>
        <w:rPr>
          <w:rFonts w:ascii="Arial Black" w:hAnsi="Arial Black"/>
          <w:color w:val="808080"/>
          <w:sz w:val="20"/>
          <w:szCs w:val="20"/>
        </w:rPr>
        <w:t xml:space="preserve">Part VI. </w:t>
      </w:r>
      <w:r w:rsidRPr="003027AD">
        <w:rPr>
          <w:rFonts w:ascii="Arial Black" w:hAnsi="Arial Black"/>
          <w:color w:val="808080"/>
          <w:sz w:val="20"/>
          <w:szCs w:val="20"/>
        </w:rPr>
        <w:t>SELECTION OF INVESTMENT</w:t>
      </w:r>
      <w:r>
        <w:rPr>
          <w:rFonts w:ascii="Arial Black" w:hAnsi="Arial Black"/>
          <w:color w:val="808080"/>
          <w:sz w:val="20"/>
          <w:szCs w:val="20"/>
        </w:rPr>
        <w:t xml:space="preserve"> OPTIONS</w:t>
      </w:r>
      <w:r w:rsidRPr="003027AD">
        <w:rPr>
          <w:rFonts w:ascii="Arial Black" w:hAnsi="Arial Black"/>
          <w:color w:val="808080"/>
          <w:sz w:val="20"/>
          <w:szCs w:val="20"/>
        </w:rPr>
        <w:t xml:space="preserve"> </w:t>
      </w:r>
    </w:p>
    <w:p w:rsidR="00155C90" w:rsidRDefault="00155C90" w:rsidP="00155C90">
      <w:pPr>
        <w:pStyle w:val="NormalWeb"/>
        <w:spacing w:before="40" w:beforeAutospacing="0" w:after="40" w:afterAutospacing="0"/>
        <w:rPr>
          <w:rFonts w:ascii="Arial" w:hAnsi="Arial" w:cs="Arial"/>
          <w:sz w:val="20"/>
        </w:rPr>
      </w:pPr>
      <w:r>
        <w:rPr>
          <w:rFonts w:ascii="Arial" w:hAnsi="Arial" w:cs="Arial"/>
          <w:sz w:val="20"/>
        </w:rPr>
        <w:t>The selection of investment options offered under the Plan is among the Committee’s most important responsibilities. Set forth below are the considerations and guidelines that the Committee should employ in fulfilling this fiduciary responsibility.</w:t>
      </w:r>
    </w:p>
    <w:p w:rsidR="00155C90" w:rsidRDefault="00155C90" w:rsidP="00155C90">
      <w:pPr>
        <w:pStyle w:val="NormalWeb"/>
        <w:spacing w:before="40" w:beforeAutospacing="0" w:after="40" w:afterAutospacing="0"/>
        <w:rPr>
          <w:rFonts w:ascii="Arial" w:hAnsi="Arial" w:cs="Arial"/>
          <w:sz w:val="20"/>
        </w:rPr>
      </w:pPr>
    </w:p>
    <w:p w:rsidR="00155C90" w:rsidRDefault="00155C90" w:rsidP="00155C90">
      <w:pPr>
        <w:pStyle w:val="NormalWeb"/>
        <w:spacing w:before="40" w:beforeAutospacing="0" w:after="40" w:afterAutospacing="0"/>
        <w:rPr>
          <w:rFonts w:ascii="Arial" w:hAnsi="Arial" w:cs="Arial"/>
          <w:sz w:val="20"/>
        </w:rPr>
      </w:pPr>
      <w:r>
        <w:rPr>
          <w:rFonts w:ascii="Arial" w:hAnsi="Arial" w:cs="Arial"/>
          <w:sz w:val="20"/>
        </w:rPr>
        <w:t>The Plan intends to provide an appropriate range of investment options that, in the aggregate, will allow Plan participants to construct portfolios consistent with their unique individual circumstances, goals, time horizons and tolerance for risk. The Plan will make available to participants at a minimum, at least three broadly diversified investment options, each of which shall offer materially different risk and return characteristics and which in the aggregate are sufficient in permitting the participants, by choosing among them, to materially affect the potential return and degree of risk on their accounts, as well as minimizing the risk of large losses with the range normally appropriate for the participant, in accordance with the requirements of ERISA Section 404(c). The Committee, shall be responsible for the Plan-level investment selection process, as set forth in this Investment Policy Statement, but cannot guarantee investment results for any selected investment option.</w:t>
      </w:r>
    </w:p>
    <w:p w:rsidR="00155C90" w:rsidRDefault="00155C90" w:rsidP="00155C90">
      <w:pPr>
        <w:pStyle w:val="NormalWeb"/>
        <w:spacing w:before="40" w:beforeAutospacing="0" w:after="40" w:afterAutospacing="0"/>
        <w:rPr>
          <w:rFonts w:ascii="Arial" w:hAnsi="Arial" w:cs="Arial"/>
          <w:sz w:val="20"/>
        </w:rPr>
      </w:pPr>
    </w:p>
    <w:p w:rsidR="00155C90" w:rsidRDefault="00155C90" w:rsidP="00155C90">
      <w:pPr>
        <w:pStyle w:val="NormalWeb"/>
        <w:spacing w:before="40" w:beforeAutospacing="0" w:after="40" w:afterAutospacing="0"/>
        <w:rPr>
          <w:rFonts w:ascii="Arial" w:hAnsi="Arial" w:cs="Arial"/>
          <w:sz w:val="20"/>
        </w:rPr>
      </w:pPr>
      <w:r>
        <w:rPr>
          <w:rFonts w:ascii="Arial" w:hAnsi="Arial" w:cs="Arial"/>
          <w:sz w:val="20"/>
        </w:rPr>
        <w:t>Major asset classes to be considered may include, but are not limited to:</w:t>
      </w:r>
    </w:p>
    <w:p w:rsidR="00155C90" w:rsidRDefault="00155C90" w:rsidP="00155C90">
      <w:pPr>
        <w:pStyle w:val="NormalWeb"/>
        <w:spacing w:before="40" w:beforeAutospacing="0" w:after="40" w:afterAutospacing="0"/>
        <w:rPr>
          <w:rFonts w:ascii="Arial" w:hAnsi="Arial" w:cs="Arial"/>
          <w:sz w:val="20"/>
        </w:rPr>
      </w:pPr>
    </w:p>
    <w:p w:rsidR="00155C90" w:rsidRDefault="00155C90" w:rsidP="00155C90">
      <w:pPr>
        <w:tabs>
          <w:tab w:val="left" w:pos="360"/>
        </w:tabs>
        <w:spacing w:before="40" w:after="40"/>
        <w:rPr>
          <w:rFonts w:ascii="Arial" w:hAnsi="Arial" w:cs="Arial"/>
          <w:b/>
          <w:bCs/>
          <w:color w:val="808080"/>
          <w:sz w:val="20"/>
          <w:szCs w:val="20"/>
          <w:u w:val="single"/>
        </w:rPr>
      </w:pPr>
      <w:r>
        <w:rPr>
          <w:rFonts w:ascii="Arial" w:hAnsi="Arial" w:cs="Arial"/>
          <w:b/>
          <w:bCs/>
          <w:color w:val="808080"/>
          <w:sz w:val="20"/>
          <w:szCs w:val="20"/>
          <w:u w:val="single"/>
        </w:rPr>
        <w:t>Conservative Investments</w:t>
      </w:r>
    </w:p>
    <w:p w:rsidR="00155C90" w:rsidRPr="00163B94" w:rsidRDefault="00155C90" w:rsidP="00155C90">
      <w:pPr>
        <w:tabs>
          <w:tab w:val="left" w:pos="360"/>
        </w:tabs>
        <w:spacing w:before="40" w:after="40"/>
        <w:rPr>
          <w:rFonts w:ascii="Arial" w:hAnsi="Arial" w:cs="Arial"/>
          <w:sz w:val="20"/>
          <w:szCs w:val="20"/>
        </w:rPr>
      </w:pPr>
      <w:r>
        <w:rPr>
          <w:rFonts w:ascii="Arial" w:hAnsi="Arial" w:cs="Arial"/>
          <w:sz w:val="20"/>
          <w:szCs w:val="20"/>
        </w:rPr>
        <w:t>C</w:t>
      </w:r>
      <w:r w:rsidRPr="00163B94">
        <w:rPr>
          <w:rFonts w:ascii="Arial" w:hAnsi="Arial" w:cs="Arial"/>
          <w:sz w:val="20"/>
          <w:szCs w:val="20"/>
        </w:rPr>
        <w:t>ash and liquid investments</w:t>
      </w:r>
      <w:r>
        <w:rPr>
          <w:rFonts w:ascii="Arial" w:hAnsi="Arial" w:cs="Arial"/>
          <w:sz w:val="20"/>
          <w:szCs w:val="20"/>
        </w:rPr>
        <w:t xml:space="preserve"> including, but not limited to,</w:t>
      </w:r>
      <w:r w:rsidRPr="00163B94">
        <w:rPr>
          <w:rFonts w:ascii="Arial" w:hAnsi="Arial" w:cs="Arial"/>
          <w:sz w:val="20"/>
          <w:szCs w:val="20"/>
        </w:rPr>
        <w:t xml:space="preserve"> money market, stable value, and guaranteed interest accounts.</w:t>
      </w:r>
    </w:p>
    <w:p w:rsidR="00155C90" w:rsidRPr="00163B94" w:rsidRDefault="00155C90" w:rsidP="00155C90">
      <w:pPr>
        <w:tabs>
          <w:tab w:val="left" w:pos="360"/>
        </w:tabs>
        <w:spacing w:before="40" w:after="40"/>
        <w:rPr>
          <w:rFonts w:ascii="Arial" w:hAnsi="Arial" w:cs="Arial"/>
          <w:sz w:val="20"/>
          <w:szCs w:val="20"/>
        </w:rPr>
      </w:pPr>
    </w:p>
    <w:p w:rsidR="00155C90" w:rsidRPr="00163B94" w:rsidRDefault="00155C90" w:rsidP="00155C90">
      <w:pPr>
        <w:tabs>
          <w:tab w:val="left" w:pos="360"/>
        </w:tabs>
        <w:spacing w:before="40" w:after="40"/>
        <w:rPr>
          <w:rFonts w:ascii="Arial" w:hAnsi="Arial" w:cs="Arial"/>
          <w:b/>
          <w:color w:val="808080"/>
          <w:sz w:val="20"/>
          <w:szCs w:val="20"/>
          <w:u w:val="single"/>
        </w:rPr>
      </w:pPr>
      <w:r w:rsidRPr="00163B94">
        <w:rPr>
          <w:rFonts w:ascii="Arial" w:hAnsi="Arial" w:cs="Arial"/>
          <w:b/>
          <w:color w:val="808080"/>
          <w:sz w:val="20"/>
          <w:szCs w:val="20"/>
          <w:u w:val="single"/>
        </w:rPr>
        <w:t>Income Investments</w:t>
      </w:r>
    </w:p>
    <w:p w:rsidR="00155C90" w:rsidRPr="00163B94" w:rsidRDefault="00155C90" w:rsidP="00155C90">
      <w:pPr>
        <w:tabs>
          <w:tab w:val="left" w:pos="360"/>
        </w:tabs>
        <w:spacing w:before="40" w:after="40"/>
        <w:rPr>
          <w:rFonts w:ascii="Arial" w:hAnsi="Arial" w:cs="Arial"/>
          <w:sz w:val="20"/>
          <w:szCs w:val="20"/>
        </w:rPr>
      </w:pPr>
      <w:r>
        <w:rPr>
          <w:rFonts w:ascii="Arial" w:hAnsi="Arial" w:cs="Arial"/>
          <w:sz w:val="20"/>
          <w:szCs w:val="20"/>
        </w:rPr>
        <w:t>I</w:t>
      </w:r>
      <w:r w:rsidRPr="00163B94">
        <w:rPr>
          <w:rFonts w:ascii="Arial" w:hAnsi="Arial" w:cs="Arial"/>
          <w:sz w:val="20"/>
          <w:szCs w:val="20"/>
        </w:rPr>
        <w:t xml:space="preserve">ncome oriented investments </w:t>
      </w:r>
      <w:r>
        <w:rPr>
          <w:rFonts w:ascii="Arial" w:hAnsi="Arial" w:cs="Arial"/>
          <w:sz w:val="20"/>
          <w:szCs w:val="20"/>
        </w:rPr>
        <w:t xml:space="preserve">including, but not limited to, </w:t>
      </w:r>
      <w:r w:rsidRPr="00163B94">
        <w:rPr>
          <w:rFonts w:ascii="Arial" w:hAnsi="Arial" w:cs="Arial"/>
          <w:sz w:val="20"/>
          <w:szCs w:val="20"/>
        </w:rPr>
        <w:t>low,</w:t>
      </w:r>
      <w:r>
        <w:rPr>
          <w:rFonts w:ascii="Arial" w:hAnsi="Arial" w:cs="Arial"/>
          <w:sz w:val="20"/>
          <w:szCs w:val="20"/>
        </w:rPr>
        <w:t xml:space="preserve"> medium and high-</w:t>
      </w:r>
      <w:r w:rsidRPr="00163B94">
        <w:rPr>
          <w:rFonts w:ascii="Arial" w:hAnsi="Arial" w:cs="Arial"/>
          <w:sz w:val="20"/>
          <w:szCs w:val="20"/>
        </w:rPr>
        <w:t>quality</w:t>
      </w:r>
      <w:r>
        <w:rPr>
          <w:rFonts w:ascii="Arial" w:hAnsi="Arial" w:cs="Arial"/>
          <w:sz w:val="20"/>
          <w:szCs w:val="20"/>
        </w:rPr>
        <w:t xml:space="preserve"> bond investments</w:t>
      </w:r>
      <w:r w:rsidRPr="00163B94">
        <w:rPr>
          <w:rFonts w:ascii="Arial" w:hAnsi="Arial" w:cs="Arial"/>
          <w:sz w:val="20"/>
          <w:szCs w:val="20"/>
        </w:rPr>
        <w:t xml:space="preserve">, </w:t>
      </w:r>
      <w:r>
        <w:rPr>
          <w:rFonts w:ascii="Arial" w:hAnsi="Arial" w:cs="Arial"/>
          <w:sz w:val="20"/>
          <w:szCs w:val="20"/>
        </w:rPr>
        <w:t xml:space="preserve">with </w:t>
      </w:r>
      <w:r w:rsidRPr="00163B94">
        <w:rPr>
          <w:rFonts w:ascii="Arial" w:hAnsi="Arial" w:cs="Arial"/>
          <w:sz w:val="20"/>
          <w:szCs w:val="20"/>
        </w:rPr>
        <w:t>short, interme</w:t>
      </w:r>
      <w:r>
        <w:rPr>
          <w:rFonts w:ascii="Arial" w:hAnsi="Arial" w:cs="Arial"/>
          <w:sz w:val="20"/>
          <w:szCs w:val="20"/>
        </w:rPr>
        <w:t>diate</w:t>
      </w:r>
      <w:r w:rsidRPr="00163B94">
        <w:rPr>
          <w:rFonts w:ascii="Arial" w:hAnsi="Arial" w:cs="Arial"/>
          <w:sz w:val="20"/>
          <w:szCs w:val="20"/>
        </w:rPr>
        <w:t xml:space="preserve"> and</w:t>
      </w:r>
      <w:r>
        <w:rPr>
          <w:rFonts w:ascii="Arial" w:hAnsi="Arial" w:cs="Arial"/>
          <w:sz w:val="20"/>
          <w:szCs w:val="20"/>
        </w:rPr>
        <w:t>/or long-</w:t>
      </w:r>
      <w:r w:rsidRPr="00163B94">
        <w:rPr>
          <w:rFonts w:ascii="Arial" w:hAnsi="Arial" w:cs="Arial"/>
          <w:sz w:val="20"/>
          <w:szCs w:val="20"/>
        </w:rPr>
        <w:t xml:space="preserve">term duration. Management styles </w:t>
      </w:r>
      <w:r>
        <w:rPr>
          <w:rFonts w:ascii="Arial" w:hAnsi="Arial" w:cs="Arial"/>
          <w:sz w:val="20"/>
          <w:szCs w:val="20"/>
        </w:rPr>
        <w:t xml:space="preserve">may be </w:t>
      </w:r>
      <w:r w:rsidRPr="00163B94">
        <w:rPr>
          <w:rFonts w:ascii="Arial" w:hAnsi="Arial" w:cs="Arial"/>
          <w:sz w:val="20"/>
          <w:szCs w:val="20"/>
        </w:rPr>
        <w:t xml:space="preserve">indexed and actively managed </w:t>
      </w:r>
      <w:r>
        <w:rPr>
          <w:rFonts w:ascii="Arial" w:hAnsi="Arial" w:cs="Arial"/>
          <w:sz w:val="20"/>
          <w:szCs w:val="20"/>
        </w:rPr>
        <w:t>international, global</w:t>
      </w:r>
      <w:r w:rsidRPr="00163B94">
        <w:rPr>
          <w:rFonts w:ascii="Arial" w:hAnsi="Arial" w:cs="Arial"/>
          <w:sz w:val="20"/>
          <w:szCs w:val="20"/>
        </w:rPr>
        <w:t xml:space="preserve"> and domestic</w:t>
      </w:r>
      <w:r>
        <w:rPr>
          <w:rFonts w:ascii="Arial" w:hAnsi="Arial" w:cs="Arial"/>
          <w:sz w:val="20"/>
          <w:szCs w:val="20"/>
        </w:rPr>
        <w:t xml:space="preserve"> styles</w:t>
      </w:r>
      <w:r w:rsidRPr="00163B94">
        <w:rPr>
          <w:rFonts w:ascii="Arial" w:hAnsi="Arial" w:cs="Arial"/>
          <w:sz w:val="20"/>
          <w:szCs w:val="20"/>
        </w:rPr>
        <w:t>.</w:t>
      </w:r>
    </w:p>
    <w:p w:rsidR="00155C90" w:rsidRPr="00163B94" w:rsidRDefault="00155C90" w:rsidP="00155C90">
      <w:pPr>
        <w:tabs>
          <w:tab w:val="left" w:pos="360"/>
        </w:tabs>
        <w:spacing w:before="40" w:after="40"/>
        <w:rPr>
          <w:rFonts w:ascii="Arial" w:hAnsi="Arial" w:cs="Arial"/>
          <w:sz w:val="20"/>
          <w:szCs w:val="20"/>
        </w:rPr>
      </w:pPr>
    </w:p>
    <w:p w:rsidR="00155C90" w:rsidRPr="00163B94" w:rsidRDefault="00155C90" w:rsidP="00155C90">
      <w:pPr>
        <w:tabs>
          <w:tab w:val="left" w:pos="360"/>
        </w:tabs>
        <w:spacing w:before="40" w:after="40"/>
        <w:ind w:left="3600" w:hanging="3600"/>
        <w:rPr>
          <w:rFonts w:ascii="Arial" w:hAnsi="Arial" w:cs="Arial"/>
          <w:b/>
          <w:bCs/>
          <w:color w:val="808080"/>
          <w:sz w:val="20"/>
          <w:szCs w:val="20"/>
          <w:u w:val="single"/>
        </w:rPr>
      </w:pPr>
      <w:r w:rsidRPr="00163B94">
        <w:rPr>
          <w:rFonts w:ascii="Arial" w:hAnsi="Arial" w:cs="Arial"/>
          <w:b/>
          <w:bCs/>
          <w:color w:val="808080"/>
          <w:sz w:val="20"/>
          <w:szCs w:val="20"/>
          <w:u w:val="single"/>
        </w:rPr>
        <w:t>Equity Investments</w:t>
      </w:r>
    </w:p>
    <w:p w:rsidR="00155C90" w:rsidRDefault="00155C90" w:rsidP="00155C90">
      <w:pPr>
        <w:tabs>
          <w:tab w:val="left" w:pos="360"/>
        </w:tabs>
        <w:spacing w:before="40" w:after="40"/>
        <w:rPr>
          <w:rFonts w:ascii="Arial" w:hAnsi="Arial" w:cs="Arial"/>
          <w:sz w:val="20"/>
          <w:szCs w:val="20"/>
        </w:rPr>
      </w:pPr>
      <w:r>
        <w:rPr>
          <w:rFonts w:ascii="Arial" w:hAnsi="Arial" w:cs="Arial"/>
          <w:sz w:val="20"/>
          <w:szCs w:val="20"/>
        </w:rPr>
        <w:lastRenderedPageBreak/>
        <w:t>Investments</w:t>
      </w:r>
      <w:r w:rsidRPr="00163B94">
        <w:rPr>
          <w:rFonts w:ascii="Arial" w:hAnsi="Arial" w:cs="Arial"/>
          <w:sz w:val="20"/>
          <w:szCs w:val="20"/>
        </w:rPr>
        <w:t xml:space="preserve"> that invest in equity securities, both domestic and foreign, including</w:t>
      </w:r>
      <w:r>
        <w:rPr>
          <w:rFonts w:ascii="Arial" w:hAnsi="Arial" w:cs="Arial"/>
          <w:sz w:val="20"/>
          <w:szCs w:val="20"/>
        </w:rPr>
        <w:t>, but not limited to, small, medium</w:t>
      </w:r>
      <w:r w:rsidRPr="00163B94">
        <w:rPr>
          <w:rFonts w:ascii="Arial" w:hAnsi="Arial" w:cs="Arial"/>
          <w:sz w:val="20"/>
          <w:szCs w:val="20"/>
        </w:rPr>
        <w:t xml:space="preserve"> and large market capitalization,</w:t>
      </w:r>
      <w:r>
        <w:rPr>
          <w:rFonts w:ascii="Arial" w:hAnsi="Arial" w:cs="Arial"/>
          <w:sz w:val="20"/>
          <w:szCs w:val="20"/>
        </w:rPr>
        <w:t xml:space="preserve"> with value, blend</w:t>
      </w:r>
      <w:r w:rsidRPr="00163B94">
        <w:rPr>
          <w:rFonts w:ascii="Arial" w:hAnsi="Arial" w:cs="Arial"/>
          <w:sz w:val="20"/>
          <w:szCs w:val="20"/>
        </w:rPr>
        <w:t xml:space="preserve"> and growth investment objectives,</w:t>
      </w:r>
      <w:r>
        <w:rPr>
          <w:rFonts w:ascii="Arial" w:hAnsi="Arial" w:cs="Arial"/>
          <w:sz w:val="20"/>
          <w:szCs w:val="20"/>
        </w:rPr>
        <w:t xml:space="preserve"> which may be </w:t>
      </w:r>
      <w:r w:rsidRPr="00163B94">
        <w:rPr>
          <w:rFonts w:ascii="Arial" w:hAnsi="Arial" w:cs="Arial"/>
          <w:sz w:val="20"/>
          <w:szCs w:val="20"/>
        </w:rPr>
        <w:t>actively managed</w:t>
      </w:r>
      <w:r>
        <w:rPr>
          <w:rFonts w:ascii="Arial" w:hAnsi="Arial" w:cs="Arial"/>
          <w:sz w:val="20"/>
          <w:szCs w:val="20"/>
        </w:rPr>
        <w:t xml:space="preserve"> or</w:t>
      </w:r>
      <w:r w:rsidRPr="00163B94">
        <w:rPr>
          <w:rFonts w:ascii="Arial" w:hAnsi="Arial" w:cs="Arial"/>
          <w:sz w:val="20"/>
          <w:szCs w:val="20"/>
        </w:rPr>
        <w:t xml:space="preserve"> indexed.</w:t>
      </w:r>
    </w:p>
    <w:p w:rsidR="00155C90" w:rsidRDefault="00155C90" w:rsidP="00155C90">
      <w:pPr>
        <w:tabs>
          <w:tab w:val="left" w:pos="360"/>
        </w:tabs>
        <w:spacing w:before="40" w:after="40"/>
        <w:rPr>
          <w:rFonts w:ascii="Arial" w:hAnsi="Arial" w:cs="Arial"/>
          <w:sz w:val="20"/>
          <w:szCs w:val="20"/>
        </w:rPr>
      </w:pPr>
    </w:p>
    <w:p w:rsidR="00155C90" w:rsidRPr="005122A0" w:rsidRDefault="00155C90" w:rsidP="00155C90">
      <w:pPr>
        <w:tabs>
          <w:tab w:val="left" w:pos="360"/>
        </w:tabs>
        <w:spacing w:before="40" w:after="40"/>
        <w:ind w:left="3600" w:hanging="3600"/>
        <w:rPr>
          <w:rFonts w:ascii="Arial" w:hAnsi="Arial" w:cs="Arial"/>
          <w:b/>
          <w:bCs/>
          <w:color w:val="808080"/>
          <w:sz w:val="20"/>
          <w:szCs w:val="20"/>
          <w:u w:val="single"/>
        </w:rPr>
      </w:pPr>
      <w:r>
        <w:rPr>
          <w:rFonts w:ascii="Arial" w:hAnsi="Arial" w:cs="Arial"/>
          <w:b/>
          <w:bCs/>
          <w:color w:val="808080"/>
          <w:sz w:val="20"/>
          <w:szCs w:val="20"/>
          <w:u w:val="single"/>
        </w:rPr>
        <w:t>Asset Allocation Investments</w:t>
      </w:r>
    </w:p>
    <w:p w:rsidR="00155C90" w:rsidRDefault="00155C90" w:rsidP="00155C90">
      <w:pPr>
        <w:tabs>
          <w:tab w:val="left" w:pos="360"/>
        </w:tabs>
        <w:spacing w:before="40" w:after="40"/>
        <w:rPr>
          <w:rFonts w:ascii="Arial" w:hAnsi="Arial" w:cs="Arial"/>
          <w:sz w:val="20"/>
          <w:szCs w:val="20"/>
        </w:rPr>
      </w:pPr>
      <w:r>
        <w:rPr>
          <w:rFonts w:ascii="Arial" w:hAnsi="Arial" w:cs="Arial"/>
          <w:sz w:val="20"/>
          <w:szCs w:val="20"/>
        </w:rPr>
        <w:t>Investments or a</w:t>
      </w:r>
      <w:r w:rsidRPr="00163B94">
        <w:rPr>
          <w:rFonts w:ascii="Arial" w:hAnsi="Arial" w:cs="Arial"/>
          <w:sz w:val="20"/>
          <w:szCs w:val="20"/>
        </w:rPr>
        <w:t>ccounts that invest in a combination of conservative, income, and equity investments, “fund of funds” accounts combining several of the above investments into one or a series of investments, and</w:t>
      </w:r>
      <w:r>
        <w:rPr>
          <w:rFonts w:ascii="Arial" w:hAnsi="Arial" w:cs="Arial"/>
          <w:sz w:val="20"/>
          <w:szCs w:val="20"/>
        </w:rPr>
        <w:t xml:space="preserve"> “manager of managers” accounts</w:t>
      </w:r>
      <w:r w:rsidRPr="00163B94">
        <w:rPr>
          <w:rFonts w:ascii="Arial" w:hAnsi="Arial" w:cs="Arial"/>
          <w:sz w:val="20"/>
          <w:szCs w:val="20"/>
        </w:rPr>
        <w:t xml:space="preserve"> combining several different investment styles and fund managers into one </w:t>
      </w:r>
      <w:r>
        <w:rPr>
          <w:rFonts w:ascii="Arial" w:hAnsi="Arial" w:cs="Arial"/>
          <w:sz w:val="20"/>
          <w:szCs w:val="20"/>
        </w:rPr>
        <w:t xml:space="preserve">account </w:t>
      </w:r>
      <w:r w:rsidRPr="00163B94">
        <w:rPr>
          <w:rFonts w:ascii="Arial" w:hAnsi="Arial" w:cs="Arial"/>
          <w:sz w:val="20"/>
          <w:szCs w:val="20"/>
        </w:rPr>
        <w:t>or a series of accounts</w:t>
      </w:r>
      <w:r>
        <w:rPr>
          <w:rFonts w:ascii="Arial" w:hAnsi="Arial" w:cs="Arial"/>
          <w:sz w:val="20"/>
          <w:szCs w:val="20"/>
        </w:rPr>
        <w:t>.</w:t>
      </w:r>
    </w:p>
    <w:p w:rsidR="00155C90" w:rsidRDefault="00155C90" w:rsidP="00155C90">
      <w:pPr>
        <w:tabs>
          <w:tab w:val="left" w:pos="360"/>
        </w:tabs>
        <w:spacing w:before="40" w:after="40"/>
        <w:ind w:left="3600" w:hanging="3600"/>
        <w:rPr>
          <w:rFonts w:ascii="Arial" w:hAnsi="Arial" w:cs="Arial"/>
          <w:sz w:val="20"/>
          <w:szCs w:val="20"/>
        </w:rPr>
      </w:pPr>
    </w:p>
    <w:p w:rsidR="00155C90" w:rsidRPr="00163B94" w:rsidRDefault="00155C90" w:rsidP="00155C90">
      <w:pPr>
        <w:tabs>
          <w:tab w:val="left" w:pos="360"/>
        </w:tabs>
        <w:spacing w:before="40" w:after="40"/>
        <w:ind w:left="3600" w:hanging="3600"/>
        <w:rPr>
          <w:rFonts w:ascii="Arial" w:hAnsi="Arial" w:cs="Arial"/>
          <w:b/>
          <w:bCs/>
          <w:color w:val="808080"/>
          <w:sz w:val="20"/>
          <w:szCs w:val="20"/>
          <w:u w:val="single"/>
        </w:rPr>
      </w:pPr>
      <w:bookmarkStart w:id="2" w:name="OLE_LINK3"/>
      <w:bookmarkStart w:id="3" w:name="OLE_LINK4"/>
      <w:r w:rsidRPr="00163B94">
        <w:rPr>
          <w:rFonts w:ascii="Arial" w:hAnsi="Arial" w:cs="Arial"/>
          <w:b/>
          <w:bCs/>
          <w:color w:val="808080"/>
          <w:sz w:val="20"/>
          <w:szCs w:val="20"/>
          <w:u w:val="single"/>
        </w:rPr>
        <w:t>Other</w:t>
      </w:r>
      <w:r>
        <w:rPr>
          <w:rFonts w:ascii="Arial" w:hAnsi="Arial" w:cs="Arial"/>
          <w:b/>
          <w:bCs/>
          <w:color w:val="808080"/>
          <w:sz w:val="20"/>
          <w:szCs w:val="20"/>
          <w:u w:val="single"/>
        </w:rPr>
        <w:t xml:space="preserve"> Investments</w:t>
      </w:r>
    </w:p>
    <w:bookmarkEnd w:id="2"/>
    <w:bookmarkEnd w:id="3"/>
    <w:p w:rsidR="00155C90" w:rsidRDefault="00155C90" w:rsidP="00155C90">
      <w:pPr>
        <w:rPr>
          <w:rFonts w:ascii="Arial" w:hAnsi="Arial" w:cs="Arial"/>
          <w:sz w:val="20"/>
          <w:szCs w:val="20"/>
        </w:rPr>
      </w:pPr>
      <w:r>
        <w:rPr>
          <w:rFonts w:ascii="Arial" w:hAnsi="Arial" w:cs="Arial"/>
          <w:sz w:val="20"/>
          <w:szCs w:val="20"/>
        </w:rPr>
        <w:t xml:space="preserve">In addition to the foregoing major assets classes, the Committee may also consider other appropriate investments in other styles or asset classes offered through vehicles such as commingled trusts, </w:t>
      </w:r>
      <w:r w:rsidRPr="00163B94">
        <w:rPr>
          <w:rFonts w:ascii="Arial" w:hAnsi="Arial" w:cs="Arial"/>
          <w:sz w:val="20"/>
          <w:szCs w:val="20"/>
        </w:rPr>
        <w:t>insurance company separate accounts t</w:t>
      </w:r>
      <w:r>
        <w:rPr>
          <w:rFonts w:ascii="Arial" w:hAnsi="Arial" w:cs="Arial"/>
          <w:sz w:val="20"/>
          <w:szCs w:val="20"/>
        </w:rPr>
        <w:t>hrough a group annuity contract</w:t>
      </w:r>
      <w:r w:rsidRPr="00163B94">
        <w:rPr>
          <w:rFonts w:ascii="Arial" w:hAnsi="Arial" w:cs="Arial"/>
          <w:sz w:val="20"/>
          <w:szCs w:val="20"/>
        </w:rPr>
        <w:t xml:space="preserve"> and mutual funds.</w:t>
      </w:r>
      <w:r>
        <w:rPr>
          <w:rFonts w:ascii="Arial" w:hAnsi="Arial" w:cs="Arial"/>
          <w:sz w:val="20"/>
          <w:szCs w:val="20"/>
        </w:rPr>
        <w:t xml:space="preserve"> Notwithstanding the foregoing, the Committee may consider, but is not required, to include in the investment menu any specific investment asset class, option or style.</w:t>
      </w:r>
    </w:p>
    <w:p w:rsidR="00155C90" w:rsidRDefault="00155C90" w:rsidP="00155C90">
      <w:pPr>
        <w:rPr>
          <w:rFonts w:ascii="Arial" w:hAnsi="Arial" w:cs="Arial"/>
          <w:sz w:val="20"/>
        </w:rPr>
      </w:pPr>
      <w:r>
        <w:rPr>
          <w:rFonts w:ascii="Arial" w:hAnsi="Arial" w:cs="Arial"/>
          <w:sz w:val="20"/>
          <w:szCs w:val="20"/>
        </w:rPr>
        <w:br/>
      </w:r>
      <w:r>
        <w:rPr>
          <w:rFonts w:ascii="Arial" w:hAnsi="Arial" w:cs="Arial"/>
          <w:sz w:val="20"/>
        </w:rPr>
        <w:t>After considering the desired asset classes, the Committee will evaluate and choose the appropriate investment option(s) desired to be offered by the Plan’s investment menu. If an investment manager (responsible for the underlying investment vehicle, such as a mutual fund, commingled account, collective trust, or separate account) is chosen as a potential investment option, the following minimum criteria should be considered:</w:t>
      </w:r>
    </w:p>
    <w:p w:rsidR="00155C90" w:rsidRPr="00093F86" w:rsidRDefault="00155C90" w:rsidP="00155C90">
      <w:pPr>
        <w:pStyle w:val="NormalWeb"/>
        <w:spacing w:before="40" w:beforeAutospacing="0" w:after="40" w:afterAutospacing="0"/>
        <w:rPr>
          <w:rFonts w:ascii="Arial" w:hAnsi="Arial" w:cs="Arial"/>
          <w:sz w:val="20"/>
          <w:szCs w:val="20"/>
        </w:rPr>
      </w:pPr>
    </w:p>
    <w:p w:rsidR="00155C90" w:rsidRPr="00093F86" w:rsidRDefault="00155C90" w:rsidP="00155C90">
      <w:pPr>
        <w:pStyle w:val="NormalWeb"/>
        <w:numPr>
          <w:ilvl w:val="0"/>
          <w:numId w:val="8"/>
        </w:numPr>
        <w:tabs>
          <w:tab w:val="clear" w:pos="720"/>
          <w:tab w:val="num" w:pos="630"/>
        </w:tabs>
        <w:spacing w:before="0" w:beforeAutospacing="0" w:after="120" w:afterAutospacing="0"/>
        <w:rPr>
          <w:rFonts w:ascii="Arial" w:hAnsi="Arial" w:cs="Arial"/>
          <w:sz w:val="20"/>
          <w:szCs w:val="20"/>
        </w:rPr>
      </w:pPr>
      <w:r>
        <w:rPr>
          <w:rFonts w:ascii="Arial" w:hAnsi="Arial" w:cs="Arial"/>
          <w:sz w:val="20"/>
          <w:szCs w:val="20"/>
        </w:rPr>
        <w:t xml:space="preserve"> The investment manager should be </w:t>
      </w:r>
      <w:r w:rsidRPr="00093F86">
        <w:rPr>
          <w:rFonts w:ascii="Arial" w:hAnsi="Arial" w:cs="Arial"/>
          <w:sz w:val="20"/>
          <w:szCs w:val="20"/>
        </w:rPr>
        <w:t>a bank, insurance company, investment management, mutual fund company or an investment advis</w:t>
      </w:r>
      <w:r>
        <w:rPr>
          <w:rFonts w:ascii="Arial" w:hAnsi="Arial" w:cs="Arial"/>
          <w:sz w:val="20"/>
          <w:szCs w:val="20"/>
        </w:rPr>
        <w:t>e</w:t>
      </w:r>
      <w:r w:rsidRPr="00093F86">
        <w:rPr>
          <w:rFonts w:ascii="Arial" w:hAnsi="Arial" w:cs="Arial"/>
          <w:sz w:val="20"/>
          <w:szCs w:val="20"/>
        </w:rPr>
        <w:t>r</w:t>
      </w:r>
      <w:r>
        <w:rPr>
          <w:rFonts w:ascii="Arial" w:hAnsi="Arial" w:cs="Arial"/>
          <w:sz w:val="20"/>
          <w:szCs w:val="20"/>
        </w:rPr>
        <w:t xml:space="preserve"> registered</w:t>
      </w:r>
      <w:r w:rsidRPr="00093F86">
        <w:rPr>
          <w:rFonts w:ascii="Arial" w:hAnsi="Arial" w:cs="Arial"/>
          <w:sz w:val="20"/>
          <w:szCs w:val="20"/>
        </w:rPr>
        <w:t xml:space="preserve"> under the </w:t>
      </w:r>
      <w:r>
        <w:rPr>
          <w:rFonts w:ascii="Arial" w:hAnsi="Arial" w:cs="Arial"/>
          <w:sz w:val="20"/>
          <w:szCs w:val="20"/>
        </w:rPr>
        <w:t>Investment Advise</w:t>
      </w:r>
      <w:r w:rsidRPr="00093F86">
        <w:rPr>
          <w:rFonts w:ascii="Arial" w:hAnsi="Arial" w:cs="Arial"/>
          <w:sz w:val="20"/>
          <w:szCs w:val="20"/>
        </w:rPr>
        <w:t>rs Act of 1940;</w:t>
      </w:r>
    </w:p>
    <w:p w:rsidR="00155C90" w:rsidRPr="00093F86" w:rsidRDefault="00155C90" w:rsidP="00155C90">
      <w:pPr>
        <w:pStyle w:val="NormalWeb"/>
        <w:numPr>
          <w:ilvl w:val="0"/>
          <w:numId w:val="8"/>
        </w:numPr>
        <w:spacing w:before="0" w:beforeAutospacing="0" w:after="120" w:afterAutospacing="0"/>
        <w:rPr>
          <w:rFonts w:ascii="Arial" w:hAnsi="Arial" w:cs="Arial"/>
          <w:sz w:val="20"/>
          <w:szCs w:val="20"/>
        </w:rPr>
      </w:pPr>
      <w:r>
        <w:rPr>
          <w:rFonts w:ascii="Arial" w:hAnsi="Arial" w:cs="Arial"/>
          <w:sz w:val="20"/>
          <w:szCs w:val="20"/>
        </w:rPr>
        <w:t>The investment’s manager</w:t>
      </w:r>
      <w:r w:rsidRPr="00093F86">
        <w:rPr>
          <w:rFonts w:ascii="Arial" w:hAnsi="Arial" w:cs="Arial"/>
          <w:sz w:val="20"/>
          <w:szCs w:val="20"/>
        </w:rPr>
        <w:t xml:space="preserve"> should </w:t>
      </w:r>
      <w:r w:rsidRPr="00093F86">
        <w:rPr>
          <w:rFonts w:ascii="Arial" w:hAnsi="Arial" w:cs="Arial"/>
          <w:sz w:val="20"/>
        </w:rPr>
        <w:t>operate in good standing with regulators and clients, with no material pending or concluded legal actions</w:t>
      </w:r>
      <w:r>
        <w:rPr>
          <w:rFonts w:ascii="Arial" w:hAnsi="Arial" w:cs="Arial"/>
          <w:sz w:val="20"/>
        </w:rPr>
        <w:t xml:space="preserve"> against it</w:t>
      </w:r>
      <w:r w:rsidRPr="00093F86">
        <w:rPr>
          <w:rFonts w:ascii="Arial" w:hAnsi="Arial" w:cs="Arial"/>
          <w:sz w:val="20"/>
        </w:rPr>
        <w:t>; and</w:t>
      </w:r>
    </w:p>
    <w:p w:rsidR="00155C90" w:rsidRPr="005122A0" w:rsidRDefault="00155C90" w:rsidP="00155C90">
      <w:pPr>
        <w:pStyle w:val="NormalWeb"/>
        <w:numPr>
          <w:ilvl w:val="0"/>
          <w:numId w:val="8"/>
        </w:numPr>
        <w:spacing w:before="40" w:beforeAutospacing="0" w:after="40" w:afterAutospacing="0"/>
        <w:rPr>
          <w:rFonts w:ascii="Arial" w:hAnsi="Arial" w:cs="Arial"/>
          <w:sz w:val="20"/>
          <w:szCs w:val="20"/>
        </w:rPr>
      </w:pPr>
      <w:r w:rsidRPr="005122A0">
        <w:rPr>
          <w:rFonts w:ascii="Arial" w:hAnsi="Arial" w:cs="Arial"/>
          <w:sz w:val="20"/>
          <w:szCs w:val="20"/>
        </w:rPr>
        <w:t xml:space="preserve">All relevant </w:t>
      </w:r>
      <w:r>
        <w:rPr>
          <w:rFonts w:ascii="Arial" w:hAnsi="Arial" w:cs="Arial"/>
          <w:sz w:val="20"/>
          <w:szCs w:val="20"/>
        </w:rPr>
        <w:t xml:space="preserve">quantitative and </w:t>
      </w:r>
      <w:r w:rsidRPr="005122A0">
        <w:rPr>
          <w:rFonts w:ascii="Arial" w:hAnsi="Arial" w:cs="Arial"/>
          <w:sz w:val="20"/>
          <w:szCs w:val="20"/>
        </w:rPr>
        <w:t xml:space="preserve">qualitative information on the manager and </w:t>
      </w:r>
      <w:r>
        <w:rPr>
          <w:rFonts w:ascii="Arial" w:hAnsi="Arial" w:cs="Arial"/>
          <w:sz w:val="20"/>
          <w:szCs w:val="20"/>
        </w:rPr>
        <w:t>investment</w:t>
      </w:r>
      <w:r w:rsidRPr="005122A0">
        <w:rPr>
          <w:rFonts w:ascii="Arial" w:hAnsi="Arial" w:cs="Arial"/>
          <w:sz w:val="20"/>
          <w:szCs w:val="20"/>
        </w:rPr>
        <w:t xml:space="preserve"> should be made available by the manager and/or vendor. </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In addition to the minimum criteria above, the Committee should consider the following standards for selection of all investments:</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numPr>
          <w:ilvl w:val="0"/>
          <w:numId w:val="9"/>
        </w:numPr>
        <w:spacing w:before="0" w:beforeAutospacing="0" w:after="120" w:afterAutospacing="0"/>
        <w:rPr>
          <w:rFonts w:ascii="Arial" w:hAnsi="Arial" w:cs="Arial"/>
          <w:sz w:val="20"/>
        </w:rPr>
      </w:pPr>
      <w:r>
        <w:rPr>
          <w:rFonts w:ascii="Arial" w:hAnsi="Arial" w:cs="Arial"/>
          <w:sz w:val="20"/>
        </w:rPr>
        <w:t xml:space="preserve">Investment performance should be competitive with an appropriate style-specific benchmark and the median return for an appropriate, style-specific peer group (where appropriate and available, long-term performance of an investment manager may be inferred through the performance of another investment with similar style attributes managed by such investment manager); </w:t>
      </w:r>
    </w:p>
    <w:p w:rsidR="00155C90" w:rsidRDefault="00155C90" w:rsidP="00155C90">
      <w:pPr>
        <w:pStyle w:val="NormalWeb"/>
        <w:numPr>
          <w:ilvl w:val="0"/>
          <w:numId w:val="9"/>
        </w:numPr>
        <w:spacing w:before="0" w:beforeAutospacing="0" w:after="120" w:afterAutospacing="0"/>
        <w:rPr>
          <w:rFonts w:ascii="Arial" w:hAnsi="Arial" w:cs="Arial"/>
          <w:sz w:val="20"/>
        </w:rPr>
      </w:pPr>
      <w:r>
        <w:rPr>
          <w:rFonts w:ascii="Arial" w:hAnsi="Arial" w:cs="Arial"/>
          <w:sz w:val="20"/>
        </w:rPr>
        <w:t>Specific risk and risk-adjusted return measures should be reviewed by the Committee and be within a reasonable range relative to appropriate, style-specific benchmark and peer group;</w:t>
      </w:r>
    </w:p>
    <w:p w:rsidR="00155C90" w:rsidRDefault="00155C90" w:rsidP="00155C90">
      <w:pPr>
        <w:pStyle w:val="NormalWeb"/>
        <w:numPr>
          <w:ilvl w:val="0"/>
          <w:numId w:val="9"/>
        </w:numPr>
        <w:spacing w:before="0" w:beforeAutospacing="0" w:after="120" w:afterAutospacing="0"/>
        <w:rPr>
          <w:rFonts w:ascii="Arial" w:hAnsi="Arial" w:cs="Arial"/>
          <w:sz w:val="20"/>
        </w:rPr>
      </w:pPr>
      <w:r>
        <w:rPr>
          <w:rFonts w:ascii="Arial" w:hAnsi="Arial" w:cs="Arial"/>
          <w:sz w:val="20"/>
        </w:rPr>
        <w:t>The investment should demonstrate adherence to the stated investment objective, without excess style drift over trailing performance periods;</w:t>
      </w:r>
    </w:p>
    <w:p w:rsidR="00155C90" w:rsidRDefault="00155C90" w:rsidP="00155C90">
      <w:pPr>
        <w:pStyle w:val="NormalWeb"/>
        <w:numPr>
          <w:ilvl w:val="0"/>
          <w:numId w:val="9"/>
        </w:numPr>
        <w:spacing w:before="0" w:beforeAutospacing="0" w:after="120" w:afterAutospacing="0"/>
        <w:rPr>
          <w:rFonts w:ascii="Arial" w:hAnsi="Arial" w:cs="Arial"/>
          <w:sz w:val="20"/>
        </w:rPr>
      </w:pPr>
      <w:r>
        <w:rPr>
          <w:rFonts w:ascii="Arial" w:hAnsi="Arial" w:cs="Arial"/>
          <w:sz w:val="20"/>
        </w:rPr>
        <w:t>Fees and fee structures should be competitive compared with similar investments reasonably available to the Plan; part of this examination includes a review of the proper use of investment-generated fees (and related revenue) to offset Plan recordkeeper fees, which should also be reviewed on a periodic basis;</w:t>
      </w:r>
    </w:p>
    <w:p w:rsidR="00155C90" w:rsidRDefault="00155C90" w:rsidP="00155C90">
      <w:pPr>
        <w:pStyle w:val="NormalWeb"/>
        <w:numPr>
          <w:ilvl w:val="0"/>
          <w:numId w:val="9"/>
        </w:numPr>
        <w:spacing w:before="0" w:beforeAutospacing="0" w:after="120" w:afterAutospacing="0"/>
        <w:rPr>
          <w:rFonts w:ascii="Arial" w:hAnsi="Arial" w:cs="Arial"/>
          <w:sz w:val="20"/>
        </w:rPr>
      </w:pPr>
      <w:r>
        <w:rPr>
          <w:rFonts w:ascii="Arial" w:hAnsi="Arial" w:cs="Arial"/>
          <w:sz w:val="20"/>
        </w:rPr>
        <w:t>The investment should exhibit attractive qualitative characteristics, including, but not limited to, acceptable manager tenure; and</w:t>
      </w:r>
    </w:p>
    <w:p w:rsidR="00155C90" w:rsidRDefault="00155C90" w:rsidP="00155C90">
      <w:pPr>
        <w:pStyle w:val="NormalWeb"/>
        <w:numPr>
          <w:ilvl w:val="0"/>
          <w:numId w:val="9"/>
        </w:numPr>
        <w:spacing w:before="0" w:beforeAutospacing="0" w:after="0" w:afterAutospacing="0"/>
        <w:rPr>
          <w:rFonts w:ascii="Arial" w:hAnsi="Arial" w:cs="Arial"/>
          <w:sz w:val="20"/>
        </w:rPr>
      </w:pPr>
      <w:r>
        <w:rPr>
          <w:rFonts w:ascii="Arial" w:hAnsi="Arial" w:cs="Arial"/>
          <w:sz w:val="20"/>
        </w:rPr>
        <w:t>The investment should be able to provide performance, holdings and other relevant information in a timely fashion with specified frequency.</w:t>
      </w:r>
    </w:p>
    <w:p w:rsidR="00155C90" w:rsidRDefault="00155C90" w:rsidP="00155C90">
      <w:pPr>
        <w:pStyle w:val="NormalWeb"/>
        <w:spacing w:before="0" w:beforeAutospacing="0" w:after="0" w:afterAutospacing="0"/>
        <w:ind w:left="360"/>
        <w:rPr>
          <w:rFonts w:ascii="Arial" w:hAnsi="Arial" w:cs="Arial"/>
          <w:sz w:val="20"/>
        </w:rPr>
      </w:pP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 xml:space="preserve">Furthermore, investments will be evaluated and selected utilizing a “score card,” detailed below in Part VII (Investment Monitoring and Reporting). </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Heading3"/>
        <w:spacing w:before="0" w:beforeAutospacing="0" w:after="0" w:afterAutospacing="0"/>
        <w:rPr>
          <w:rFonts w:ascii="Arial Black" w:hAnsi="Arial Black" w:cs="Arial"/>
          <w:b w:val="0"/>
          <w:bCs w:val="0"/>
          <w:color w:val="808080"/>
          <w:sz w:val="20"/>
        </w:rPr>
      </w:pPr>
      <w:r>
        <w:rPr>
          <w:rFonts w:ascii="Arial Black" w:hAnsi="Arial Black" w:cs="Arial"/>
          <w:b w:val="0"/>
          <w:bCs w:val="0"/>
          <w:color w:val="808080"/>
          <w:sz w:val="20"/>
        </w:rPr>
        <w:lastRenderedPageBreak/>
        <w:t xml:space="preserve">Part VII. </w:t>
      </w:r>
      <w:r w:rsidRPr="006A7F8B">
        <w:rPr>
          <w:rFonts w:ascii="Arial Black" w:hAnsi="Arial Black" w:cs="Arial"/>
          <w:b w:val="0"/>
          <w:bCs w:val="0"/>
          <w:color w:val="808080"/>
          <w:sz w:val="20"/>
        </w:rPr>
        <w:t>INVESTMENT</w:t>
      </w:r>
      <w:r>
        <w:rPr>
          <w:rFonts w:ascii="Arial Black" w:hAnsi="Arial Black" w:cs="Arial"/>
          <w:b w:val="0"/>
          <w:bCs w:val="0"/>
          <w:color w:val="808080"/>
          <w:sz w:val="20"/>
        </w:rPr>
        <w:t xml:space="preserve"> MONITORING AND REPORTING</w:t>
      </w:r>
    </w:p>
    <w:p w:rsidR="00155C90" w:rsidRPr="005122A0" w:rsidRDefault="00155C90" w:rsidP="00155C90">
      <w:pPr>
        <w:pStyle w:val="NormalWeb"/>
        <w:spacing w:before="0" w:beforeAutospacing="0" w:after="0" w:afterAutospacing="0"/>
        <w:rPr>
          <w:rFonts w:ascii="Arial" w:hAnsi="Arial" w:cs="Arial"/>
          <w:sz w:val="20"/>
        </w:rPr>
      </w:pPr>
      <w:r w:rsidRPr="005122A0">
        <w:rPr>
          <w:rFonts w:ascii="Arial" w:hAnsi="Arial" w:cs="Arial"/>
          <w:sz w:val="20"/>
        </w:rPr>
        <w:t>The ongoing monitoring of investments is a regular and disciplined process</w:t>
      </w:r>
      <w:r>
        <w:rPr>
          <w:rFonts w:ascii="Arial" w:hAnsi="Arial" w:cs="Arial"/>
          <w:sz w:val="20"/>
        </w:rPr>
        <w:t xml:space="preserve"> intended to ensure that a previously selected investment option continues to satisfy the selection process</w:t>
      </w:r>
      <w:r w:rsidRPr="005122A0">
        <w:rPr>
          <w:rFonts w:ascii="Arial" w:hAnsi="Arial" w:cs="Arial"/>
          <w:sz w:val="20"/>
        </w:rPr>
        <w:t xml:space="preserve"> and that an investment option continues to be </w:t>
      </w:r>
      <w:r>
        <w:rPr>
          <w:rFonts w:ascii="Arial" w:hAnsi="Arial" w:cs="Arial"/>
          <w:sz w:val="20"/>
        </w:rPr>
        <w:t>a prudent option offered for investment in the Plan</w:t>
      </w:r>
      <w:r w:rsidRPr="005122A0">
        <w:rPr>
          <w:rFonts w:ascii="Arial" w:hAnsi="Arial" w:cs="Arial"/>
          <w:sz w:val="20"/>
        </w:rPr>
        <w:t xml:space="preserve">. </w:t>
      </w:r>
      <w:r>
        <w:rPr>
          <w:rFonts w:ascii="Arial" w:hAnsi="Arial" w:cs="Arial"/>
          <w:sz w:val="20"/>
        </w:rPr>
        <w:t>The</w:t>
      </w:r>
      <w:r w:rsidRPr="005122A0">
        <w:rPr>
          <w:rFonts w:ascii="Arial" w:hAnsi="Arial" w:cs="Arial"/>
          <w:sz w:val="20"/>
        </w:rPr>
        <w:t xml:space="preserve"> process of monitoring investment performance relative to specified guidelines will be consistent</w:t>
      </w:r>
      <w:r>
        <w:rPr>
          <w:rFonts w:ascii="Arial" w:hAnsi="Arial" w:cs="Arial"/>
          <w:sz w:val="20"/>
        </w:rPr>
        <w:t>ly applied</w:t>
      </w:r>
      <w:r w:rsidRPr="005122A0">
        <w:rPr>
          <w:rFonts w:ascii="Arial" w:hAnsi="Arial" w:cs="Arial"/>
          <w:sz w:val="20"/>
        </w:rPr>
        <w:t>.</w:t>
      </w:r>
      <w:r>
        <w:rPr>
          <w:rFonts w:ascii="Arial" w:hAnsi="Arial" w:cs="Arial"/>
          <w:sz w:val="20"/>
        </w:rPr>
        <w:t xml:space="preserve"> Frequent change of investments is neither expected nor desired.</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The Committee will bear in mind any and all political, social, economic or other changes that may potentially require more frequent review and consideration of investments. The following are some, but not all, general factors that may be considered in ongoing monitoring:</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numPr>
          <w:ilvl w:val="0"/>
          <w:numId w:val="26"/>
        </w:numPr>
        <w:spacing w:before="0" w:beforeAutospacing="0" w:after="120" w:afterAutospacing="0"/>
        <w:rPr>
          <w:rFonts w:ascii="Arial" w:hAnsi="Arial" w:cs="Arial"/>
          <w:sz w:val="20"/>
        </w:rPr>
      </w:pPr>
      <w:r>
        <w:rPr>
          <w:rFonts w:ascii="Arial" w:hAnsi="Arial" w:cs="Arial"/>
          <w:sz w:val="20"/>
        </w:rPr>
        <w:t>Current regulatory environment,</w:t>
      </w:r>
    </w:p>
    <w:p w:rsidR="00155C90" w:rsidRDefault="00155C90" w:rsidP="00155C90">
      <w:pPr>
        <w:pStyle w:val="NormalWeb"/>
        <w:numPr>
          <w:ilvl w:val="0"/>
          <w:numId w:val="26"/>
        </w:numPr>
        <w:spacing w:before="0" w:beforeAutospacing="0" w:after="120" w:afterAutospacing="0"/>
        <w:rPr>
          <w:rFonts w:ascii="Arial" w:hAnsi="Arial" w:cs="Arial"/>
          <w:sz w:val="20"/>
        </w:rPr>
      </w:pPr>
      <w:r>
        <w:rPr>
          <w:rFonts w:ascii="Arial" w:hAnsi="Arial" w:cs="Arial"/>
          <w:sz w:val="20"/>
        </w:rPr>
        <w:t>Current state of capital markets,</w:t>
      </w:r>
    </w:p>
    <w:p w:rsidR="00155C90" w:rsidRDefault="00155C90" w:rsidP="00155C90">
      <w:pPr>
        <w:pStyle w:val="NormalWeb"/>
        <w:numPr>
          <w:ilvl w:val="0"/>
          <w:numId w:val="26"/>
        </w:numPr>
        <w:spacing w:before="0" w:beforeAutospacing="0" w:after="120" w:afterAutospacing="0"/>
        <w:rPr>
          <w:rFonts w:ascii="Arial" w:hAnsi="Arial" w:cs="Arial"/>
          <w:sz w:val="20"/>
        </w:rPr>
      </w:pPr>
      <w:r>
        <w:rPr>
          <w:rFonts w:ascii="Arial" w:hAnsi="Arial" w:cs="Arial"/>
          <w:sz w:val="20"/>
        </w:rPr>
        <w:t>Performance of investment alternatives,</w:t>
      </w:r>
    </w:p>
    <w:p w:rsidR="00155C90" w:rsidRDefault="00155C90" w:rsidP="00155C90">
      <w:pPr>
        <w:pStyle w:val="NormalWeb"/>
        <w:numPr>
          <w:ilvl w:val="0"/>
          <w:numId w:val="26"/>
        </w:numPr>
        <w:spacing w:before="0" w:beforeAutospacing="0" w:after="120" w:afterAutospacing="0"/>
        <w:rPr>
          <w:rFonts w:ascii="Arial" w:hAnsi="Arial" w:cs="Arial"/>
          <w:sz w:val="20"/>
        </w:rPr>
      </w:pPr>
      <w:r>
        <w:rPr>
          <w:rFonts w:ascii="Arial" w:hAnsi="Arial" w:cs="Arial"/>
          <w:sz w:val="20"/>
        </w:rPr>
        <w:t>Utilization of accounts by Plan demographic,</w:t>
      </w:r>
    </w:p>
    <w:p w:rsidR="00155C90" w:rsidRDefault="00155C90" w:rsidP="00155C90">
      <w:pPr>
        <w:pStyle w:val="NormalWeb"/>
        <w:numPr>
          <w:ilvl w:val="0"/>
          <w:numId w:val="26"/>
        </w:numPr>
        <w:spacing w:before="0" w:beforeAutospacing="0" w:after="0" w:afterAutospacing="0"/>
        <w:rPr>
          <w:rFonts w:ascii="Arial" w:hAnsi="Arial" w:cs="Arial"/>
          <w:sz w:val="20"/>
        </w:rPr>
      </w:pPr>
      <w:r>
        <w:rPr>
          <w:rFonts w:ascii="Arial" w:hAnsi="Arial" w:cs="Arial"/>
          <w:sz w:val="20"/>
        </w:rPr>
        <w:t>The prudent applicability of this Investment Policy Statement as written, in light of prevailing facts and circumstances.</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Monitoring will generally utilize the same investment selection criteria used in the original selection analysis, or such other criteria as deemed prudent by the Committee. Unusual, notable, or extraordinary events should</w:t>
      </w:r>
      <w:r w:rsidRPr="005122A0">
        <w:rPr>
          <w:rFonts w:ascii="Arial" w:hAnsi="Arial" w:cs="Arial"/>
          <w:sz w:val="20"/>
        </w:rPr>
        <w:t xml:space="preserve"> </w:t>
      </w:r>
      <w:r>
        <w:rPr>
          <w:rFonts w:ascii="Arial" w:hAnsi="Arial" w:cs="Arial"/>
          <w:sz w:val="20"/>
        </w:rPr>
        <w:t>be communicated by each investment and/or provider</w:t>
      </w:r>
      <w:r w:rsidRPr="005122A0">
        <w:rPr>
          <w:rFonts w:ascii="Arial" w:hAnsi="Arial" w:cs="Arial"/>
          <w:sz w:val="20"/>
        </w:rPr>
        <w:t xml:space="preserve"> on a timely basis</w:t>
      </w:r>
      <w:r>
        <w:rPr>
          <w:rFonts w:ascii="Arial" w:hAnsi="Arial" w:cs="Arial"/>
          <w:sz w:val="20"/>
        </w:rPr>
        <w:t xml:space="preserve"> to the Committee. Examples of such events include portfolio manager or team departure, violation of investment guidelines, material litigation against the investment management firm, or material changes in firm ownership structure and announcements thereof.</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If overall satisfaction with the investment option is acceptable, no further action is required. If areas of dissatisfaction exist, the Committee will monitor whether the investment is taking appropriate and prudent steps to remedy the deficiency. If over a reasonable period the issue remains unresolved, removal of the investment option may result.</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 xml:space="preserve">For supported asset classes, a “score card” will be maintained and documented (see addendum) to substantiate acceptable levels of performance and appropriate style characteristics. Based upon objective criteria, derived from modern portfolio theory concepts, each investment option will receive a score reflecting its overall performance. </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If an investment fails to meet the criteria standards, as determined by its score, it may be placed on a “watch list” (as defined in the attached Addendum). If the investment maintains a watch list score for four consecutive quarters, or five out of eight quarters, the investment may be considered for further action (see Part VIX below) by the Committee. In the event an investment receives a score which is below that of “watch list” status, or experiences extraordinary circumstances which may render it imprudent to maintain, it may be considered for action (see Part VIX below) by the Committee at the earliest administratively practicable date.</w:t>
      </w:r>
      <w:r w:rsidDel="009B6383">
        <w:rPr>
          <w:rFonts w:ascii="Arial" w:hAnsi="Arial" w:cs="Arial"/>
          <w:sz w:val="20"/>
        </w:rPr>
        <w:t xml:space="preserve"> </w:t>
      </w: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If the investment meets criteria standards, as determined by its score as “acceptable” or “good” (as defined in the attached Addendum) for four consecutive quarters, it may be removed from the watch list.</w:t>
      </w:r>
    </w:p>
    <w:p w:rsidR="00155C90" w:rsidRDefault="00155C90" w:rsidP="00155C90">
      <w:pPr>
        <w:pStyle w:val="NormalWeb"/>
        <w:spacing w:before="0" w:beforeAutospacing="0" w:after="0" w:afterAutospacing="0"/>
        <w:rPr>
          <w:rFonts w:ascii="Arial" w:hAnsi="Arial" w:cs="Arial"/>
          <w:sz w:val="20"/>
        </w:rPr>
      </w:pPr>
    </w:p>
    <w:p w:rsidR="00155C90" w:rsidRPr="005122A0" w:rsidRDefault="00155C90" w:rsidP="00155C90">
      <w:pPr>
        <w:pStyle w:val="NormalWeb"/>
        <w:spacing w:before="0" w:beforeAutospacing="0" w:after="0" w:afterAutospacing="0"/>
        <w:rPr>
          <w:rFonts w:ascii="Arial" w:hAnsi="Arial" w:cs="Arial"/>
          <w:sz w:val="20"/>
        </w:rPr>
      </w:pPr>
      <w:r>
        <w:rPr>
          <w:rFonts w:ascii="Arial" w:hAnsi="Arial" w:cs="Arial"/>
          <w:sz w:val="20"/>
        </w:rPr>
        <w:t>Cash, or principal preservation, alternatives should be reviewed with a primary focus on the investment’s ability to preserve capital and minimize risk. Criteria reviewed should include, but not be limited to, credit quality, diversification, and stability of insurance provider, if applicable.</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 xml:space="preserve">Asset </w:t>
      </w:r>
      <w:r w:rsidR="00511D2A">
        <w:rPr>
          <w:rFonts w:ascii="Arial" w:hAnsi="Arial" w:cs="Arial"/>
          <w:sz w:val="20"/>
        </w:rPr>
        <w:t>a</w:t>
      </w:r>
      <w:r>
        <w:rPr>
          <w:rFonts w:ascii="Arial" w:hAnsi="Arial" w:cs="Arial"/>
          <w:sz w:val="20"/>
        </w:rPr>
        <w:t xml:space="preserve">llocation investments should be scored and monitored in the same manner as all other investments, using the previously described guidelines in Part VII. Because many of these investments contain separate underlying investment funds, it may also be appropriate to score and monitor those, as available and applicable. Unlike other investments which are monitored and scored individually, target-date investments, though potentially scored individually, should be evaluated as a group. Due to the unique importance of these investment options for participants in the Plan, investments or suites of investments (as may be </w:t>
      </w:r>
      <w:r>
        <w:rPr>
          <w:rFonts w:ascii="Arial" w:hAnsi="Arial" w:cs="Arial"/>
          <w:sz w:val="20"/>
        </w:rPr>
        <w:lastRenderedPageBreak/>
        <w:t>applicable), or managed accounts failing to achieve criteria standards should be carefully reviewed before removal from the Plan (in the absence of a reasonable alternative).</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In the event asset allocation investments have too brief a time history to be scored, the investment or suite should be evaluated both qualitatively and quantitatively on the underlying investments that may have a longer time history available, using a proxy, or a qualitative framework for all other instances.</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Investments</w:t>
      </w:r>
      <w:r w:rsidRPr="005122A0">
        <w:rPr>
          <w:rFonts w:ascii="Arial" w:hAnsi="Arial" w:cs="Arial"/>
          <w:sz w:val="20"/>
        </w:rPr>
        <w:t xml:space="preserve"> where no score is applied</w:t>
      </w:r>
      <w:r>
        <w:rPr>
          <w:rFonts w:ascii="Arial" w:hAnsi="Arial" w:cs="Arial"/>
          <w:sz w:val="20"/>
        </w:rPr>
        <w:t xml:space="preserve"> due to specialty focus, short time history or other unique circumstances should</w:t>
      </w:r>
      <w:r w:rsidRPr="005122A0">
        <w:rPr>
          <w:rFonts w:ascii="Arial" w:hAnsi="Arial" w:cs="Arial"/>
          <w:sz w:val="20"/>
        </w:rPr>
        <w:t xml:space="preserve"> be reviewed</w:t>
      </w:r>
      <w:r>
        <w:rPr>
          <w:rFonts w:ascii="Arial" w:hAnsi="Arial" w:cs="Arial"/>
          <w:sz w:val="20"/>
        </w:rPr>
        <w:t xml:space="preserve"> using a proxy, where applicable and prudent, or a qualitative framework for all other instances. </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The foregoing investment monitoring criteria shall not, under any circumstances, be taken as definitive, conclusive, or controlling for removal, termination or continuation of an investment option. All determinations should be made by the Committee, in its sole discretion, taking into consideration all relevant facts and circumstances.</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Heading3"/>
        <w:spacing w:before="0" w:beforeAutospacing="0" w:after="0" w:afterAutospacing="0"/>
        <w:rPr>
          <w:rFonts w:ascii="Arial Black" w:hAnsi="Arial Black" w:cs="Arial"/>
          <w:b w:val="0"/>
          <w:bCs w:val="0"/>
          <w:color w:val="808080"/>
          <w:sz w:val="20"/>
        </w:rPr>
      </w:pPr>
      <w:r>
        <w:rPr>
          <w:rFonts w:ascii="Arial" w:hAnsi="Arial" w:cs="Arial"/>
          <w:b w:val="0"/>
          <w:sz w:val="20"/>
        </w:rPr>
        <w:t>Unless the Plan document requires inclusion of Company stock as an investment option, t</w:t>
      </w:r>
      <w:r w:rsidRPr="00BA5AD3">
        <w:rPr>
          <w:rFonts w:ascii="Arial" w:hAnsi="Arial" w:cs="Arial"/>
          <w:b w:val="0"/>
          <w:sz w:val="20"/>
        </w:rPr>
        <w:t xml:space="preserve">he </w:t>
      </w:r>
      <w:r>
        <w:rPr>
          <w:rFonts w:ascii="Arial" w:hAnsi="Arial" w:cs="Arial"/>
          <w:b w:val="0"/>
          <w:sz w:val="20"/>
        </w:rPr>
        <w:t>Committee</w:t>
      </w:r>
      <w:r w:rsidRPr="00BA5AD3">
        <w:rPr>
          <w:rFonts w:ascii="Arial" w:hAnsi="Arial" w:cs="Arial"/>
          <w:b w:val="0"/>
          <w:sz w:val="20"/>
        </w:rPr>
        <w:t xml:space="preserve"> retains full responsibility for the offering and monitoring of any</w:t>
      </w:r>
      <w:r>
        <w:rPr>
          <w:rFonts w:ascii="Arial" w:hAnsi="Arial" w:cs="Arial"/>
          <w:b w:val="0"/>
          <w:sz w:val="20"/>
        </w:rPr>
        <w:t xml:space="preserve"> self-directed brokerage account(s) and/or</w:t>
      </w:r>
      <w:r w:rsidRPr="00BA5AD3">
        <w:rPr>
          <w:rFonts w:ascii="Arial" w:hAnsi="Arial" w:cs="Arial"/>
          <w:b w:val="0"/>
          <w:sz w:val="20"/>
        </w:rPr>
        <w:t xml:space="preserve"> </w:t>
      </w:r>
      <w:r>
        <w:rPr>
          <w:rFonts w:ascii="Arial" w:hAnsi="Arial" w:cs="Arial"/>
          <w:b w:val="0"/>
          <w:sz w:val="20"/>
        </w:rPr>
        <w:t>C</w:t>
      </w:r>
      <w:r w:rsidRPr="00BA5AD3">
        <w:rPr>
          <w:rFonts w:ascii="Arial" w:hAnsi="Arial" w:cs="Arial"/>
          <w:b w:val="0"/>
          <w:sz w:val="20"/>
        </w:rPr>
        <w:t xml:space="preserve">ompany stock offered as an investment option, which will be reviewed periodically as determined by </w:t>
      </w:r>
      <w:r>
        <w:rPr>
          <w:rFonts w:ascii="Arial" w:hAnsi="Arial" w:cs="Arial"/>
          <w:b w:val="0"/>
          <w:sz w:val="20"/>
        </w:rPr>
        <w:t>t</w:t>
      </w:r>
      <w:r w:rsidRPr="00BA5AD3">
        <w:rPr>
          <w:rFonts w:ascii="Arial" w:hAnsi="Arial" w:cs="Arial"/>
          <w:b w:val="0"/>
          <w:sz w:val="20"/>
        </w:rPr>
        <w:t xml:space="preserve">he </w:t>
      </w:r>
      <w:r>
        <w:rPr>
          <w:rFonts w:ascii="Arial" w:hAnsi="Arial" w:cs="Arial"/>
          <w:b w:val="0"/>
          <w:sz w:val="20"/>
        </w:rPr>
        <w:t>Committee</w:t>
      </w:r>
      <w:r w:rsidRPr="00BA5AD3">
        <w:rPr>
          <w:rFonts w:ascii="Arial" w:hAnsi="Arial" w:cs="Arial"/>
          <w:b w:val="0"/>
          <w:sz w:val="20"/>
        </w:rPr>
        <w:t xml:space="preserve"> based on criteria determined by </w:t>
      </w:r>
      <w:r>
        <w:rPr>
          <w:rFonts w:ascii="Arial" w:hAnsi="Arial" w:cs="Arial"/>
          <w:b w:val="0"/>
          <w:sz w:val="20"/>
        </w:rPr>
        <w:t>t</w:t>
      </w:r>
      <w:r w:rsidRPr="00BA5AD3">
        <w:rPr>
          <w:rFonts w:ascii="Arial" w:hAnsi="Arial" w:cs="Arial"/>
          <w:b w:val="0"/>
          <w:sz w:val="20"/>
        </w:rPr>
        <w:t xml:space="preserve">he </w:t>
      </w:r>
      <w:r>
        <w:rPr>
          <w:rFonts w:ascii="Arial" w:hAnsi="Arial" w:cs="Arial"/>
          <w:b w:val="0"/>
          <w:sz w:val="20"/>
        </w:rPr>
        <w:t>Committee</w:t>
      </w:r>
      <w:r w:rsidRPr="00BA5AD3">
        <w:rPr>
          <w:rFonts w:ascii="Arial" w:hAnsi="Arial" w:cs="Arial"/>
          <w:b w:val="0"/>
          <w:sz w:val="20"/>
        </w:rPr>
        <w:t>.</w:t>
      </w:r>
      <w:r>
        <w:rPr>
          <w:rFonts w:ascii="Arial" w:hAnsi="Arial" w:cs="Arial"/>
          <w:b w:val="0"/>
          <w:sz w:val="20"/>
        </w:rPr>
        <w:t xml:space="preserve"> Special considerations should be contemplated and discussed before allowing either as an investment option. In the event the Plan document requires inclusion of Company stock as an investment option, the Company retains sole fiduciary responsibility for monitoring, retaining, or removing Company stock as an investment option in the Plan.</w:t>
      </w:r>
      <w:r w:rsidRPr="0099753B">
        <w:rPr>
          <w:rFonts w:ascii="Arial" w:hAnsi="Arial" w:cs="Arial"/>
          <w:sz w:val="20"/>
        </w:rPr>
        <w:t xml:space="preserve"> </w:t>
      </w:r>
    </w:p>
    <w:p w:rsidR="00155C90" w:rsidRDefault="00155C90" w:rsidP="00155C90">
      <w:pPr>
        <w:pStyle w:val="Heading3"/>
        <w:spacing w:before="0" w:beforeAutospacing="0" w:after="0" w:afterAutospacing="0"/>
        <w:rPr>
          <w:rFonts w:ascii="Arial" w:hAnsi="Arial" w:cs="Arial"/>
          <w:sz w:val="20"/>
        </w:rPr>
      </w:pPr>
    </w:p>
    <w:p w:rsidR="00155C90" w:rsidRPr="00155C90" w:rsidRDefault="00155C90" w:rsidP="00155C90">
      <w:pPr>
        <w:pStyle w:val="NormalWeb"/>
        <w:spacing w:before="0" w:beforeAutospacing="0" w:after="0" w:afterAutospacing="0"/>
        <w:rPr>
          <w:rFonts w:ascii="Arial Black" w:hAnsi="Arial Black" w:cs="Arial"/>
          <w:b/>
          <w:color w:val="808080"/>
          <w:sz w:val="20"/>
        </w:rPr>
      </w:pPr>
      <w:r w:rsidRPr="006A7F8B">
        <w:rPr>
          <w:rFonts w:ascii="Arial Black" w:hAnsi="Arial Black" w:cs="Arial"/>
          <w:b/>
          <w:color w:val="808080"/>
          <w:sz w:val="20"/>
        </w:rPr>
        <w:t>PART VIII:  ASSET ALLOCATION AND DEFAULT STRATEGY</w:t>
      </w:r>
    </w:p>
    <w:p w:rsidR="00155C90" w:rsidRPr="00F10DA7" w:rsidRDefault="00155C90" w:rsidP="00155C90">
      <w:pPr>
        <w:pStyle w:val="NormalWeb"/>
        <w:spacing w:before="0" w:beforeAutospacing="0" w:after="0" w:afterAutospacing="0"/>
        <w:rPr>
          <w:rFonts w:ascii="Arial" w:hAnsi="Arial" w:cs="Arial"/>
          <w:sz w:val="20"/>
        </w:rPr>
      </w:pPr>
      <w:r w:rsidRPr="00F10DA7">
        <w:rPr>
          <w:rFonts w:ascii="Arial" w:hAnsi="Arial" w:cs="Arial"/>
          <w:sz w:val="20"/>
        </w:rPr>
        <w:t xml:space="preserve">The </w:t>
      </w:r>
      <w:r>
        <w:rPr>
          <w:rFonts w:ascii="Arial" w:hAnsi="Arial" w:cs="Arial"/>
          <w:sz w:val="20"/>
        </w:rPr>
        <w:t>Committee</w:t>
      </w:r>
      <w:r w:rsidRPr="00F10DA7">
        <w:rPr>
          <w:rFonts w:ascii="Arial" w:hAnsi="Arial" w:cs="Arial"/>
          <w:sz w:val="20"/>
        </w:rPr>
        <w:t xml:space="preserve"> will evaluate and choose an investment or </w:t>
      </w:r>
      <w:r>
        <w:rPr>
          <w:rFonts w:ascii="Arial" w:hAnsi="Arial" w:cs="Arial"/>
          <w:sz w:val="20"/>
        </w:rPr>
        <w:t>set of investments, or multiple investments,</w:t>
      </w:r>
      <w:r w:rsidRPr="00F10DA7">
        <w:rPr>
          <w:rFonts w:ascii="Arial" w:hAnsi="Arial" w:cs="Arial"/>
          <w:sz w:val="20"/>
        </w:rPr>
        <w:t xml:space="preserve"> to serve as the default investment</w:t>
      </w:r>
      <w:r>
        <w:rPr>
          <w:rFonts w:ascii="Arial" w:hAnsi="Arial" w:cs="Arial"/>
          <w:sz w:val="20"/>
        </w:rPr>
        <w:t>(s)</w:t>
      </w:r>
      <w:r w:rsidRPr="00F10DA7">
        <w:rPr>
          <w:rFonts w:ascii="Arial" w:hAnsi="Arial" w:cs="Arial"/>
          <w:sz w:val="20"/>
        </w:rPr>
        <w:t xml:space="preserve"> for the </w:t>
      </w:r>
      <w:r>
        <w:rPr>
          <w:rFonts w:ascii="Arial" w:hAnsi="Arial" w:cs="Arial"/>
          <w:sz w:val="20"/>
        </w:rPr>
        <w:t>Plan</w:t>
      </w:r>
      <w:r w:rsidRPr="00F10DA7">
        <w:rPr>
          <w:rFonts w:ascii="Arial" w:hAnsi="Arial" w:cs="Arial"/>
          <w:sz w:val="20"/>
        </w:rPr>
        <w:t>. The default investment</w:t>
      </w:r>
      <w:r>
        <w:rPr>
          <w:rFonts w:ascii="Arial" w:hAnsi="Arial" w:cs="Arial"/>
          <w:sz w:val="20"/>
        </w:rPr>
        <w:t>(s)</w:t>
      </w:r>
      <w:r w:rsidRPr="00F10DA7">
        <w:rPr>
          <w:rFonts w:ascii="Arial" w:hAnsi="Arial" w:cs="Arial"/>
          <w:sz w:val="20"/>
        </w:rPr>
        <w:t xml:space="preserve"> will be the designated investment for dollars contributed to the </w:t>
      </w:r>
      <w:r>
        <w:rPr>
          <w:rFonts w:ascii="Arial" w:hAnsi="Arial" w:cs="Arial"/>
          <w:sz w:val="20"/>
        </w:rPr>
        <w:t>Plan</w:t>
      </w:r>
      <w:r w:rsidRPr="00F10DA7">
        <w:rPr>
          <w:rFonts w:ascii="Arial" w:hAnsi="Arial" w:cs="Arial"/>
          <w:sz w:val="20"/>
        </w:rPr>
        <w:t xml:space="preserve"> by participants and/or the employer for which the </w:t>
      </w:r>
      <w:r>
        <w:rPr>
          <w:rFonts w:ascii="Arial" w:hAnsi="Arial" w:cs="Arial"/>
          <w:sz w:val="20"/>
        </w:rPr>
        <w:t>Plan</w:t>
      </w:r>
      <w:r w:rsidRPr="00F10DA7">
        <w:rPr>
          <w:rFonts w:ascii="Arial" w:hAnsi="Arial" w:cs="Arial"/>
          <w:sz w:val="20"/>
        </w:rPr>
        <w:t xml:space="preserve"> has </w:t>
      </w:r>
      <w:r>
        <w:rPr>
          <w:rFonts w:ascii="Arial" w:hAnsi="Arial" w:cs="Arial"/>
          <w:sz w:val="20"/>
        </w:rPr>
        <w:t>no active employee direction on file</w:t>
      </w:r>
      <w:r w:rsidRPr="00F10DA7">
        <w:rPr>
          <w:rFonts w:ascii="Arial" w:hAnsi="Arial" w:cs="Arial"/>
          <w:sz w:val="20"/>
        </w:rPr>
        <w:t xml:space="preserve">.  </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Asset Allocation investments and/or accounts (risk-based or target date-based) should be considered as the Plan’s default investment strategy due to the inherent benefits these options provide to participants including the diversification of assets across multiple asset classes. The intent on selection of an asset allocation investment(s) as the default is to meet the requirements of a qualified default investment alternative (QDIA) under the terms of section 404(c)(5) of ERISA and the regulations promulgated thereunder.</w:t>
      </w: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 xml:space="preserve">   </w:t>
      </w: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In the event the Committee selects a target-date asset allocation solution, a critical component is the respective glide path which should be reviewed to make sure it is appropriate and prudent as a default, and further that it continues to be appropriate and prudent, for the Plan and Plan’s participants. The following criteria should be considered in the selection, and ongoing monitoring, of a target-date asset allocation solution:</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numPr>
          <w:ilvl w:val="0"/>
          <w:numId w:val="32"/>
        </w:numPr>
        <w:spacing w:before="0" w:beforeAutospacing="0" w:after="120" w:afterAutospacing="0"/>
        <w:rPr>
          <w:rFonts w:ascii="Arial" w:hAnsi="Arial" w:cs="Arial"/>
          <w:sz w:val="20"/>
        </w:rPr>
      </w:pPr>
      <w:r w:rsidRPr="0082244B">
        <w:rPr>
          <w:rFonts w:ascii="Arial" w:hAnsi="Arial" w:cs="Arial"/>
          <w:sz w:val="20"/>
        </w:rPr>
        <w:t>Plan objectives, including, but not limited to; the Plan being a “supplemental” plan vs. the Company’s sole retirement plan which participants are relying on to retire, the existence of additional plans (i.e., defined benefit plan, deferred compensation plan, money purchase pension plan, etc.), potentially impactful additional Plan design elements (i.e., automatic features, level of matching contributions, profit sharing contributions, etc.), whether the Plan’s objectives in offering the suite have changed, whether proprietary, custom, or nonproprietary solutions best meet the objectives of a prudent number of eligible employees and whether the glide path, equity landing point, and age 65 equity exposure, most closely meets the objectives of a prudent number of eligible employees;</w:t>
      </w:r>
    </w:p>
    <w:p w:rsidR="00155C90" w:rsidRDefault="00155C90" w:rsidP="00155C90">
      <w:pPr>
        <w:pStyle w:val="NormalWeb"/>
        <w:numPr>
          <w:ilvl w:val="0"/>
          <w:numId w:val="32"/>
        </w:numPr>
        <w:spacing w:before="0" w:beforeAutospacing="0" w:after="120" w:afterAutospacing="0"/>
        <w:rPr>
          <w:rFonts w:ascii="Arial" w:hAnsi="Arial" w:cs="Arial"/>
          <w:sz w:val="20"/>
        </w:rPr>
      </w:pPr>
      <w:r w:rsidRPr="0082244B">
        <w:rPr>
          <w:rFonts w:ascii="Arial" w:hAnsi="Arial" w:cs="Arial"/>
          <w:sz w:val="20"/>
        </w:rPr>
        <w:t>Plan demographic information, including, but not limited to: participant deferral rates, account balances and their general degree of investment knowledge (level of investment sophistication), whether a single or multiple glide path approach would be most prudent for the demographics of the eligible employee population; and</w:t>
      </w:r>
    </w:p>
    <w:p w:rsidR="00155C90" w:rsidRDefault="00155C90" w:rsidP="00EC122A">
      <w:pPr>
        <w:pStyle w:val="NormalWeb"/>
        <w:numPr>
          <w:ilvl w:val="0"/>
          <w:numId w:val="32"/>
        </w:numPr>
        <w:spacing w:before="0" w:beforeAutospacing="0" w:after="0" w:afterAutospacing="0"/>
        <w:rPr>
          <w:rFonts w:ascii="Arial" w:hAnsi="Arial" w:cs="Arial"/>
          <w:sz w:val="20"/>
        </w:rPr>
      </w:pPr>
      <w:r>
        <w:rPr>
          <w:rFonts w:ascii="Arial" w:hAnsi="Arial" w:cs="Arial"/>
          <w:sz w:val="20"/>
        </w:rPr>
        <w:lastRenderedPageBreak/>
        <w:t xml:space="preserve">Participant behavior information, including, but not limited to; the level of participant involvement in the plan before and after retirement and how participants behave with investment and market risk within the plan. </w:t>
      </w:r>
    </w:p>
    <w:p w:rsidR="00EC122A" w:rsidRPr="00EC122A" w:rsidRDefault="00EC122A" w:rsidP="00EC122A">
      <w:pPr>
        <w:pStyle w:val="NormalWeb"/>
        <w:spacing w:before="0" w:beforeAutospacing="0" w:after="0" w:afterAutospacing="0"/>
        <w:ind w:left="720"/>
        <w:rPr>
          <w:rFonts w:ascii="Arial" w:hAnsi="Arial" w:cs="Arial"/>
          <w:sz w:val="20"/>
        </w:rPr>
      </w:pP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Other considerations may include:</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numPr>
          <w:ilvl w:val="0"/>
          <w:numId w:val="32"/>
        </w:numPr>
        <w:spacing w:before="0" w:beforeAutospacing="0" w:after="120" w:afterAutospacing="0"/>
        <w:rPr>
          <w:rFonts w:ascii="Arial" w:hAnsi="Arial" w:cs="Arial"/>
          <w:sz w:val="20"/>
        </w:rPr>
      </w:pPr>
      <w:r>
        <w:rPr>
          <w:rFonts w:ascii="Arial" w:hAnsi="Arial" w:cs="Arial"/>
          <w:sz w:val="20"/>
        </w:rPr>
        <w:t>W</w:t>
      </w:r>
      <w:r w:rsidRPr="00EB6ACB">
        <w:rPr>
          <w:rFonts w:ascii="Arial" w:hAnsi="Arial" w:cs="Arial"/>
          <w:sz w:val="20"/>
        </w:rPr>
        <w:t xml:space="preserve">hether the Plan’s objectives in </w:t>
      </w:r>
      <w:r>
        <w:rPr>
          <w:rFonts w:ascii="Arial" w:hAnsi="Arial" w:cs="Arial"/>
          <w:sz w:val="20"/>
        </w:rPr>
        <w:t>offering the existing suite have changed;</w:t>
      </w:r>
    </w:p>
    <w:p w:rsidR="00155C90" w:rsidRDefault="00155C90" w:rsidP="00155C90">
      <w:pPr>
        <w:pStyle w:val="NormalWeb"/>
        <w:numPr>
          <w:ilvl w:val="0"/>
          <w:numId w:val="32"/>
        </w:numPr>
        <w:spacing w:before="0" w:beforeAutospacing="0" w:after="120" w:afterAutospacing="0"/>
        <w:rPr>
          <w:rFonts w:ascii="Arial" w:hAnsi="Arial" w:cs="Arial"/>
          <w:sz w:val="20"/>
        </w:rPr>
      </w:pPr>
      <w:r>
        <w:rPr>
          <w:rFonts w:ascii="Arial" w:hAnsi="Arial" w:cs="Arial"/>
          <w:sz w:val="20"/>
        </w:rPr>
        <w:t>W</w:t>
      </w:r>
      <w:r w:rsidRPr="00EB6ACB">
        <w:rPr>
          <w:rFonts w:ascii="Arial" w:hAnsi="Arial" w:cs="Arial"/>
          <w:sz w:val="20"/>
        </w:rPr>
        <w:t>hether there have been significant changes in the suite’s investm</w:t>
      </w:r>
      <w:r>
        <w:rPr>
          <w:rFonts w:ascii="Arial" w:hAnsi="Arial" w:cs="Arial"/>
          <w:sz w:val="20"/>
        </w:rPr>
        <w:t>ent strategy or management team;</w:t>
      </w:r>
    </w:p>
    <w:p w:rsidR="00155C90" w:rsidRDefault="00155C90" w:rsidP="00155C90">
      <w:pPr>
        <w:pStyle w:val="NormalWeb"/>
        <w:numPr>
          <w:ilvl w:val="0"/>
          <w:numId w:val="32"/>
        </w:numPr>
        <w:spacing w:before="0" w:beforeAutospacing="0" w:after="120" w:afterAutospacing="0"/>
        <w:rPr>
          <w:rFonts w:ascii="Arial" w:hAnsi="Arial" w:cs="Arial"/>
          <w:sz w:val="20"/>
        </w:rPr>
      </w:pPr>
      <w:r>
        <w:rPr>
          <w:rFonts w:ascii="Arial" w:hAnsi="Arial" w:cs="Arial"/>
          <w:sz w:val="20"/>
        </w:rPr>
        <w:t>Whether the fees and expenses of the suite are reasonable given the investment management (including glide path construction, rebalancing, etc.) involved;</w:t>
      </w:r>
    </w:p>
    <w:p w:rsidR="00155C90" w:rsidRPr="001C2014" w:rsidRDefault="00155C90" w:rsidP="00155C90">
      <w:pPr>
        <w:pStyle w:val="NormalWeb"/>
        <w:numPr>
          <w:ilvl w:val="0"/>
          <w:numId w:val="32"/>
        </w:numPr>
        <w:spacing w:before="0" w:beforeAutospacing="0" w:after="120" w:afterAutospacing="0"/>
        <w:rPr>
          <w:rFonts w:ascii="Arial" w:hAnsi="Arial" w:cs="Arial"/>
          <w:sz w:val="20"/>
        </w:rPr>
      </w:pPr>
      <w:r w:rsidRPr="001C2014">
        <w:rPr>
          <w:rFonts w:ascii="Arial" w:hAnsi="Arial" w:cs="Arial"/>
          <w:sz w:val="20"/>
        </w:rPr>
        <w:t>Additional information such as number, and construct, of asset classes used to promote diversification and growth potential within each investment</w:t>
      </w:r>
      <w:r>
        <w:rPr>
          <w:rFonts w:ascii="Arial" w:hAnsi="Arial" w:cs="Arial"/>
          <w:sz w:val="20"/>
        </w:rPr>
        <w:t>;</w:t>
      </w:r>
      <w:r w:rsidR="00511D2A">
        <w:rPr>
          <w:rFonts w:ascii="Arial" w:hAnsi="Arial" w:cs="Arial"/>
          <w:sz w:val="20"/>
        </w:rPr>
        <w:t xml:space="preserve"> and</w:t>
      </w:r>
    </w:p>
    <w:p w:rsidR="00155C90" w:rsidRDefault="00155C90" w:rsidP="00155C90">
      <w:pPr>
        <w:pStyle w:val="NormalWeb"/>
        <w:numPr>
          <w:ilvl w:val="0"/>
          <w:numId w:val="32"/>
        </w:numPr>
        <w:spacing w:before="0" w:beforeAutospacing="0" w:after="0" w:afterAutospacing="0"/>
        <w:rPr>
          <w:rFonts w:ascii="Arial" w:hAnsi="Arial" w:cs="Arial"/>
          <w:sz w:val="20"/>
        </w:rPr>
      </w:pPr>
      <w:r>
        <w:rPr>
          <w:rFonts w:ascii="Arial" w:hAnsi="Arial" w:cs="Arial"/>
          <w:sz w:val="20"/>
        </w:rPr>
        <w:t>The management style of the underlying investments be it passive, activ</w:t>
      </w:r>
      <w:r w:rsidR="00511D2A">
        <w:rPr>
          <w:rFonts w:ascii="Arial" w:hAnsi="Arial" w:cs="Arial"/>
          <w:sz w:val="20"/>
        </w:rPr>
        <w:t>e, or a core-satellite approach.</w:t>
      </w:r>
    </w:p>
    <w:p w:rsidR="00155C90" w:rsidRPr="00805DDE" w:rsidRDefault="00155C90" w:rsidP="00155C90">
      <w:pPr>
        <w:pStyle w:val="Heading3"/>
        <w:spacing w:before="0" w:beforeAutospacing="0" w:after="0" w:afterAutospacing="0"/>
        <w:rPr>
          <w:rFonts w:ascii="Arial" w:hAnsi="Arial" w:cs="Arial"/>
          <w:b w:val="0"/>
          <w:bCs w:val="0"/>
          <w:color w:val="808080"/>
          <w:sz w:val="20"/>
        </w:rPr>
      </w:pPr>
    </w:p>
    <w:p w:rsidR="00155C90" w:rsidRDefault="00155C90" w:rsidP="00155C90">
      <w:pPr>
        <w:pStyle w:val="Heading3"/>
        <w:spacing w:before="0" w:beforeAutospacing="0" w:after="0" w:afterAutospacing="0"/>
        <w:rPr>
          <w:rFonts w:ascii="Arial Black" w:hAnsi="Arial Black" w:cs="Arial"/>
          <w:b w:val="0"/>
          <w:bCs w:val="0"/>
          <w:color w:val="808080"/>
          <w:sz w:val="20"/>
        </w:rPr>
      </w:pPr>
      <w:r>
        <w:rPr>
          <w:rFonts w:ascii="Arial Black" w:hAnsi="Arial Black" w:cs="Arial"/>
          <w:b w:val="0"/>
          <w:bCs w:val="0"/>
          <w:color w:val="808080"/>
          <w:sz w:val="20"/>
        </w:rPr>
        <w:t>Part IX. COMMITTEE ACTION</w:t>
      </w: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An investment may be removed when the Committee has lost confidence in the investment manager’s ability to:</w:t>
      </w:r>
    </w:p>
    <w:p w:rsidR="00155C90" w:rsidRDefault="00155C90" w:rsidP="00155C90">
      <w:pPr>
        <w:pStyle w:val="NormalWeb"/>
        <w:spacing w:before="0" w:beforeAutospacing="0" w:after="0" w:afterAutospacing="0"/>
        <w:rPr>
          <w:rFonts w:ascii="Arial" w:hAnsi="Arial" w:cs="Arial"/>
          <w:sz w:val="16"/>
        </w:rPr>
      </w:pPr>
    </w:p>
    <w:p w:rsidR="00155C90" w:rsidRPr="005122A0" w:rsidRDefault="00155C90" w:rsidP="00155C90">
      <w:pPr>
        <w:numPr>
          <w:ilvl w:val="0"/>
          <w:numId w:val="5"/>
        </w:numPr>
        <w:rPr>
          <w:rFonts w:ascii="Arial" w:hAnsi="Arial" w:cs="Arial"/>
          <w:sz w:val="20"/>
        </w:rPr>
      </w:pPr>
      <w:r w:rsidRPr="005122A0">
        <w:rPr>
          <w:rFonts w:ascii="Arial" w:hAnsi="Arial" w:cs="Arial"/>
          <w:sz w:val="20"/>
        </w:rPr>
        <w:t>Achieve performance, style,</w:t>
      </w:r>
      <w:r>
        <w:rPr>
          <w:rFonts w:ascii="Arial" w:hAnsi="Arial" w:cs="Arial"/>
          <w:sz w:val="20"/>
        </w:rPr>
        <w:t xml:space="preserve"> allocation</w:t>
      </w:r>
      <w:r w:rsidRPr="005122A0">
        <w:rPr>
          <w:rFonts w:ascii="Arial" w:hAnsi="Arial" w:cs="Arial"/>
          <w:sz w:val="20"/>
        </w:rPr>
        <w:t xml:space="preserve"> and/or risk objectives.</w:t>
      </w:r>
    </w:p>
    <w:p w:rsidR="00155C90" w:rsidRPr="005122A0" w:rsidRDefault="00155C90" w:rsidP="00155C90">
      <w:pPr>
        <w:numPr>
          <w:ilvl w:val="0"/>
          <w:numId w:val="5"/>
        </w:numPr>
        <w:rPr>
          <w:rFonts w:ascii="Arial" w:hAnsi="Arial" w:cs="Arial"/>
          <w:sz w:val="20"/>
        </w:rPr>
      </w:pPr>
      <w:r w:rsidRPr="005122A0">
        <w:rPr>
          <w:rFonts w:ascii="Arial" w:hAnsi="Arial" w:cs="Arial"/>
          <w:sz w:val="20"/>
        </w:rPr>
        <w:t>Maintain acceptable qualitative standards (</w:t>
      </w:r>
      <w:r>
        <w:rPr>
          <w:rFonts w:ascii="Arial" w:hAnsi="Arial" w:cs="Arial"/>
          <w:sz w:val="20"/>
        </w:rPr>
        <w:t>e.g.,</w:t>
      </w:r>
      <w:r w:rsidRPr="005122A0">
        <w:rPr>
          <w:rFonts w:ascii="Arial" w:hAnsi="Arial" w:cs="Arial"/>
          <w:sz w:val="20"/>
        </w:rPr>
        <w:t xml:space="preserve"> stable organization, compliance</w:t>
      </w:r>
      <w:r>
        <w:rPr>
          <w:rFonts w:ascii="Arial" w:hAnsi="Arial" w:cs="Arial"/>
          <w:sz w:val="20"/>
        </w:rPr>
        <w:t xml:space="preserve"> </w:t>
      </w:r>
      <w:r w:rsidRPr="005122A0">
        <w:rPr>
          <w:rFonts w:ascii="Arial" w:hAnsi="Arial" w:cs="Arial"/>
          <w:sz w:val="20"/>
        </w:rPr>
        <w:t>guidelines)</w:t>
      </w:r>
      <w:r>
        <w:rPr>
          <w:rFonts w:ascii="Arial" w:hAnsi="Arial" w:cs="Arial"/>
          <w:sz w:val="20"/>
        </w:rPr>
        <w:t>.</w:t>
      </w:r>
    </w:p>
    <w:p w:rsidR="00155C90" w:rsidRPr="005122A0" w:rsidRDefault="00155C90" w:rsidP="00155C90">
      <w:pPr>
        <w:ind w:left="360"/>
        <w:rPr>
          <w:rFonts w:ascii="Arial" w:hAnsi="Arial" w:cs="Arial"/>
          <w:sz w:val="20"/>
        </w:rPr>
      </w:pPr>
    </w:p>
    <w:p w:rsidR="00155C90" w:rsidRDefault="00155C90" w:rsidP="00155C90">
      <w:pPr>
        <w:pStyle w:val="NormalWeb"/>
        <w:spacing w:before="0" w:beforeAutospacing="0" w:after="0" w:afterAutospacing="0"/>
        <w:rPr>
          <w:rFonts w:ascii="Arial" w:hAnsi="Arial" w:cs="Arial"/>
          <w:sz w:val="20"/>
        </w:rPr>
      </w:pPr>
      <w:r w:rsidRPr="005122A0">
        <w:rPr>
          <w:rFonts w:ascii="Arial" w:hAnsi="Arial" w:cs="Arial"/>
          <w:sz w:val="20"/>
        </w:rPr>
        <w:t>If the investment manager has failed to adhere to and/or remedy one or both of the above conditions, the</w:t>
      </w:r>
      <w:r>
        <w:rPr>
          <w:rFonts w:ascii="Arial" w:hAnsi="Arial" w:cs="Arial"/>
          <w:sz w:val="20"/>
        </w:rPr>
        <w:t xml:space="preserve"> investment may</w:t>
      </w:r>
      <w:r w:rsidRPr="005122A0">
        <w:rPr>
          <w:rFonts w:ascii="Arial" w:hAnsi="Arial" w:cs="Arial"/>
          <w:sz w:val="20"/>
        </w:rPr>
        <w:t xml:space="preserve"> be considered for removal from the </w:t>
      </w:r>
      <w:r>
        <w:rPr>
          <w:rFonts w:ascii="Arial" w:hAnsi="Arial" w:cs="Arial"/>
          <w:sz w:val="20"/>
        </w:rPr>
        <w:t>Plan</w:t>
      </w:r>
      <w:r w:rsidRPr="005122A0">
        <w:rPr>
          <w:rFonts w:ascii="Arial" w:hAnsi="Arial" w:cs="Arial"/>
          <w:sz w:val="20"/>
        </w:rPr>
        <w:t>.</w:t>
      </w:r>
      <w:r>
        <w:rPr>
          <w:rFonts w:ascii="Arial" w:hAnsi="Arial" w:cs="Arial"/>
          <w:sz w:val="20"/>
        </w:rPr>
        <w:t xml:space="preserve"> The Committee may also remove an investment option for any reason it deems necessary and prudent.</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Any decision by the Committee to remove such an investment will be made on an individual basis, and will be made based on all the known facts and circumstances, including, but not limited to:</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numPr>
          <w:ilvl w:val="0"/>
          <w:numId w:val="12"/>
        </w:numPr>
        <w:spacing w:before="0" w:beforeAutospacing="0" w:after="0" w:afterAutospacing="0"/>
        <w:rPr>
          <w:rFonts w:ascii="Arial" w:hAnsi="Arial" w:cs="Arial"/>
          <w:sz w:val="20"/>
        </w:rPr>
      </w:pPr>
      <w:r>
        <w:rPr>
          <w:rFonts w:ascii="Arial" w:hAnsi="Arial" w:cs="Arial"/>
          <w:sz w:val="20"/>
        </w:rPr>
        <w:t>The objective analysis (described above)</w:t>
      </w:r>
    </w:p>
    <w:p w:rsidR="00155C90" w:rsidRDefault="00155C90" w:rsidP="00155C90">
      <w:pPr>
        <w:pStyle w:val="NormalWeb"/>
        <w:numPr>
          <w:ilvl w:val="0"/>
          <w:numId w:val="12"/>
        </w:numPr>
        <w:spacing w:before="0" w:beforeAutospacing="0" w:after="0" w:afterAutospacing="0"/>
        <w:rPr>
          <w:rFonts w:ascii="Arial" w:hAnsi="Arial" w:cs="Arial"/>
          <w:sz w:val="20"/>
        </w:rPr>
      </w:pPr>
      <w:r>
        <w:rPr>
          <w:rFonts w:ascii="Arial" w:hAnsi="Arial" w:cs="Arial"/>
          <w:sz w:val="20"/>
        </w:rPr>
        <w:t>Administrative impact on the Plan</w:t>
      </w:r>
    </w:p>
    <w:p w:rsidR="00155C90" w:rsidRDefault="00155C90" w:rsidP="00155C90">
      <w:pPr>
        <w:pStyle w:val="NormalWeb"/>
        <w:numPr>
          <w:ilvl w:val="0"/>
          <w:numId w:val="12"/>
        </w:numPr>
        <w:spacing w:before="0" w:beforeAutospacing="0" w:after="0" w:afterAutospacing="0"/>
        <w:rPr>
          <w:rFonts w:ascii="Arial" w:hAnsi="Arial" w:cs="Arial"/>
          <w:sz w:val="20"/>
        </w:rPr>
      </w:pPr>
      <w:r>
        <w:rPr>
          <w:rFonts w:ascii="Arial" w:hAnsi="Arial" w:cs="Arial"/>
          <w:sz w:val="20"/>
        </w:rPr>
        <w:t>Timing</w:t>
      </w:r>
    </w:p>
    <w:p w:rsidR="00155C90" w:rsidRDefault="00155C90" w:rsidP="00155C90">
      <w:pPr>
        <w:pStyle w:val="NormalWeb"/>
        <w:numPr>
          <w:ilvl w:val="0"/>
          <w:numId w:val="12"/>
        </w:numPr>
        <w:spacing w:before="0" w:beforeAutospacing="0" w:after="0" w:afterAutospacing="0"/>
        <w:rPr>
          <w:rFonts w:ascii="Arial" w:hAnsi="Arial" w:cs="Arial"/>
          <w:sz w:val="20"/>
        </w:rPr>
      </w:pPr>
      <w:r>
        <w:rPr>
          <w:rFonts w:ascii="Arial" w:hAnsi="Arial" w:cs="Arial"/>
          <w:sz w:val="20"/>
        </w:rPr>
        <w:t>Employee communication issues</w:t>
      </w:r>
    </w:p>
    <w:p w:rsidR="00155C90" w:rsidRDefault="00155C90" w:rsidP="00155C90">
      <w:pPr>
        <w:pStyle w:val="NormalWeb"/>
        <w:numPr>
          <w:ilvl w:val="0"/>
          <w:numId w:val="12"/>
        </w:numPr>
        <w:spacing w:before="0" w:beforeAutospacing="0" w:after="0" w:afterAutospacing="0"/>
        <w:rPr>
          <w:rFonts w:ascii="Arial" w:hAnsi="Arial" w:cs="Arial"/>
          <w:sz w:val="20"/>
        </w:rPr>
      </w:pPr>
      <w:r>
        <w:rPr>
          <w:rFonts w:ascii="Arial" w:hAnsi="Arial" w:cs="Arial"/>
          <w:sz w:val="20"/>
        </w:rPr>
        <w:t>The availability of other (potential replacement) investments</w:t>
      </w:r>
    </w:p>
    <w:p w:rsidR="00155C90" w:rsidRDefault="00155C90" w:rsidP="00155C90">
      <w:pPr>
        <w:pStyle w:val="NormalWeb"/>
        <w:numPr>
          <w:ilvl w:val="0"/>
          <w:numId w:val="12"/>
        </w:numPr>
        <w:spacing w:before="0" w:beforeAutospacing="0" w:after="0" w:afterAutospacing="0"/>
        <w:rPr>
          <w:rFonts w:ascii="Arial" w:hAnsi="Arial" w:cs="Arial"/>
          <w:sz w:val="20"/>
        </w:rPr>
      </w:pPr>
      <w:r>
        <w:rPr>
          <w:rFonts w:ascii="Arial" w:hAnsi="Arial" w:cs="Arial"/>
          <w:sz w:val="20"/>
        </w:rPr>
        <w:t>Underwriting and Plan provider limitations</w:t>
      </w:r>
    </w:p>
    <w:p w:rsidR="00155C90" w:rsidRDefault="00155C90" w:rsidP="00155C90">
      <w:pPr>
        <w:pStyle w:val="NormalWeb"/>
        <w:numPr>
          <w:ilvl w:val="0"/>
          <w:numId w:val="12"/>
        </w:numPr>
        <w:spacing w:before="0" w:beforeAutospacing="0" w:after="0" w:afterAutospacing="0"/>
        <w:rPr>
          <w:rFonts w:ascii="Arial" w:hAnsi="Arial" w:cs="Arial"/>
          <w:sz w:val="20"/>
        </w:rPr>
      </w:pPr>
      <w:r>
        <w:rPr>
          <w:rFonts w:ascii="Arial" w:hAnsi="Arial" w:cs="Arial"/>
          <w:sz w:val="20"/>
        </w:rPr>
        <w:t>Financial considerations (hard and soft dollar fees)</w:t>
      </w:r>
    </w:p>
    <w:p w:rsidR="00155C90" w:rsidRDefault="00155C90" w:rsidP="00155C90">
      <w:pPr>
        <w:pStyle w:val="NormalWeb"/>
        <w:numPr>
          <w:ilvl w:val="0"/>
          <w:numId w:val="12"/>
        </w:numPr>
        <w:spacing w:before="0" w:beforeAutospacing="0" w:after="0" w:afterAutospacing="0"/>
        <w:rPr>
          <w:rFonts w:ascii="Arial" w:hAnsi="Arial" w:cs="Arial"/>
          <w:sz w:val="20"/>
        </w:rPr>
      </w:pPr>
      <w:r>
        <w:rPr>
          <w:rFonts w:ascii="Arial" w:hAnsi="Arial" w:cs="Arial"/>
          <w:sz w:val="20"/>
        </w:rPr>
        <w:t>Professional or client turnover</w:t>
      </w:r>
    </w:p>
    <w:p w:rsidR="00155C90" w:rsidRDefault="00155C90" w:rsidP="00155C90">
      <w:pPr>
        <w:pStyle w:val="NormalWeb"/>
        <w:numPr>
          <w:ilvl w:val="0"/>
          <w:numId w:val="12"/>
        </w:numPr>
        <w:spacing w:before="0" w:beforeAutospacing="0" w:after="0" w:afterAutospacing="0"/>
        <w:rPr>
          <w:rFonts w:ascii="Arial" w:hAnsi="Arial" w:cs="Arial"/>
          <w:sz w:val="20"/>
        </w:rPr>
      </w:pPr>
      <w:r>
        <w:rPr>
          <w:rFonts w:ascii="Arial" w:hAnsi="Arial" w:cs="Arial"/>
          <w:sz w:val="20"/>
        </w:rPr>
        <w:t>A material change in the investment process</w:t>
      </w:r>
    </w:p>
    <w:p w:rsidR="00155C90" w:rsidRDefault="00155C90" w:rsidP="00155C90">
      <w:pPr>
        <w:pStyle w:val="NormalWeb"/>
        <w:numPr>
          <w:ilvl w:val="0"/>
          <w:numId w:val="12"/>
        </w:numPr>
        <w:spacing w:before="0" w:beforeAutospacing="0" w:after="0" w:afterAutospacing="0"/>
        <w:rPr>
          <w:rFonts w:ascii="Arial" w:hAnsi="Arial" w:cs="Arial"/>
          <w:sz w:val="20"/>
        </w:rPr>
      </w:pPr>
      <w:r>
        <w:rPr>
          <w:rFonts w:ascii="Arial" w:hAnsi="Arial" w:cs="Arial"/>
          <w:sz w:val="20"/>
        </w:rPr>
        <w:t>Other relevant factors</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Considerable judgment should be exercised in the Committee decision-making process. The Committee may administer the following approaches with an investment that fails to consistently meet criteria of this Investment Policy Statement:</w:t>
      </w:r>
    </w:p>
    <w:p w:rsidR="00155C90" w:rsidRDefault="00155C90" w:rsidP="00155C90">
      <w:pPr>
        <w:pStyle w:val="NormalWeb"/>
        <w:spacing w:before="0" w:beforeAutospacing="0" w:after="0" w:afterAutospacing="0"/>
        <w:rPr>
          <w:rFonts w:ascii="Arial" w:hAnsi="Arial" w:cs="Arial"/>
          <w:sz w:val="16"/>
        </w:rPr>
      </w:pPr>
    </w:p>
    <w:p w:rsidR="00155C90" w:rsidRDefault="00155C90" w:rsidP="00155C90">
      <w:pPr>
        <w:numPr>
          <w:ilvl w:val="0"/>
          <w:numId w:val="6"/>
        </w:numPr>
        <w:spacing w:after="120"/>
        <w:rPr>
          <w:rFonts w:ascii="Arial" w:hAnsi="Arial" w:cs="Arial"/>
          <w:sz w:val="20"/>
        </w:rPr>
      </w:pPr>
      <w:r>
        <w:rPr>
          <w:rFonts w:ascii="Arial" w:hAnsi="Arial" w:cs="Arial"/>
          <w:sz w:val="20"/>
        </w:rPr>
        <w:t>Remove and replace (map assets) with a reasonably similar alternative investment.</w:t>
      </w:r>
    </w:p>
    <w:p w:rsidR="00155C90" w:rsidRDefault="00155C90" w:rsidP="00155C90">
      <w:pPr>
        <w:numPr>
          <w:ilvl w:val="0"/>
          <w:numId w:val="6"/>
        </w:numPr>
        <w:spacing w:after="120"/>
        <w:rPr>
          <w:rFonts w:ascii="Arial" w:hAnsi="Arial" w:cs="Arial"/>
          <w:sz w:val="20"/>
        </w:rPr>
      </w:pPr>
      <w:r>
        <w:rPr>
          <w:rFonts w:ascii="Arial" w:hAnsi="Arial" w:cs="Arial"/>
          <w:sz w:val="20"/>
        </w:rPr>
        <w:t>Freeze the assets in the investment and direct new assets to an alternative, reasonably similar, investment.</w:t>
      </w:r>
    </w:p>
    <w:p w:rsidR="00155C90" w:rsidRDefault="00155C90" w:rsidP="00155C90">
      <w:pPr>
        <w:numPr>
          <w:ilvl w:val="0"/>
          <w:numId w:val="6"/>
        </w:numPr>
        <w:spacing w:after="120"/>
        <w:rPr>
          <w:rFonts w:ascii="Arial" w:hAnsi="Arial" w:cs="Arial"/>
          <w:sz w:val="20"/>
        </w:rPr>
      </w:pPr>
      <w:r>
        <w:rPr>
          <w:rFonts w:ascii="Arial" w:hAnsi="Arial" w:cs="Arial"/>
          <w:sz w:val="20"/>
        </w:rPr>
        <w:t>Phase out the investment over a specific time period.</w:t>
      </w:r>
    </w:p>
    <w:p w:rsidR="00155C90" w:rsidRDefault="00155C90" w:rsidP="00155C90">
      <w:pPr>
        <w:numPr>
          <w:ilvl w:val="0"/>
          <w:numId w:val="6"/>
        </w:numPr>
        <w:rPr>
          <w:rFonts w:ascii="Arial" w:hAnsi="Arial" w:cs="Arial"/>
          <w:sz w:val="20"/>
        </w:rPr>
      </w:pPr>
      <w:r>
        <w:rPr>
          <w:rFonts w:ascii="Arial" w:hAnsi="Arial" w:cs="Arial"/>
          <w:sz w:val="20"/>
        </w:rPr>
        <w:t xml:space="preserve">Remove the investment and do not provide a replacement investment and default assets into the Plan’s QDIA. </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lastRenderedPageBreak/>
        <w:t>Replacement of a removed investment follows the criteria outlined in Part VI (Selection of Investment Options).</w:t>
      </w:r>
    </w:p>
    <w:p w:rsidR="00155C90" w:rsidRPr="00D75771" w:rsidRDefault="00155C90" w:rsidP="00155C90">
      <w:pPr>
        <w:pStyle w:val="Heading3"/>
        <w:spacing w:before="0" w:beforeAutospacing="0" w:after="0" w:afterAutospacing="0"/>
        <w:rPr>
          <w:rFonts w:ascii="Arial" w:hAnsi="Arial" w:cs="Arial"/>
          <w:b w:val="0"/>
          <w:bCs w:val="0"/>
          <w:color w:val="808080"/>
          <w:sz w:val="20"/>
        </w:rPr>
      </w:pPr>
    </w:p>
    <w:p w:rsidR="00155C90" w:rsidRDefault="00155C90" w:rsidP="00155C90">
      <w:pPr>
        <w:pStyle w:val="Heading3"/>
        <w:spacing w:before="0" w:beforeAutospacing="0" w:after="0" w:afterAutospacing="0"/>
        <w:rPr>
          <w:rFonts w:ascii="Arial Black" w:hAnsi="Arial Black" w:cs="Arial"/>
          <w:b w:val="0"/>
          <w:bCs w:val="0"/>
          <w:color w:val="808080"/>
          <w:sz w:val="20"/>
          <w:u w:val="single"/>
        </w:rPr>
      </w:pPr>
      <w:r>
        <w:rPr>
          <w:rFonts w:ascii="Arial Black" w:hAnsi="Arial Black" w:cs="Arial"/>
          <w:b w:val="0"/>
          <w:bCs w:val="0"/>
          <w:color w:val="808080"/>
          <w:sz w:val="20"/>
        </w:rPr>
        <w:t>Part X. PARTICIPANT EDUCATION AND COMMUNICATION</w:t>
      </w:r>
    </w:p>
    <w:p w:rsidR="00155C90" w:rsidRDefault="00155C90" w:rsidP="00155C90">
      <w:pPr>
        <w:rPr>
          <w:rFonts w:ascii="Arial" w:hAnsi="Arial" w:cs="Arial"/>
          <w:sz w:val="20"/>
          <w:szCs w:val="20"/>
        </w:rPr>
      </w:pPr>
      <w:r>
        <w:rPr>
          <w:rFonts w:ascii="Arial" w:hAnsi="Arial" w:cs="Arial"/>
          <w:sz w:val="20"/>
        </w:rPr>
        <w:t xml:space="preserve">The Plan should communicate to employees that they can direct their own investments and investment changes. </w:t>
      </w:r>
      <w:r>
        <w:rPr>
          <w:rFonts w:ascii="Arial" w:hAnsi="Arial" w:cs="Arial"/>
          <w:sz w:val="20"/>
          <w:szCs w:val="20"/>
        </w:rPr>
        <w:t>Investment communications materials, educational materials, and enrollment support should be available to help Plan participants make educated and informed choices, and may include:</w:t>
      </w:r>
    </w:p>
    <w:p w:rsidR="00155C90" w:rsidRDefault="00155C90" w:rsidP="00155C90">
      <w:pPr>
        <w:rPr>
          <w:rFonts w:ascii="Arial" w:hAnsi="Arial" w:cs="Arial"/>
          <w:sz w:val="20"/>
          <w:szCs w:val="20"/>
        </w:rPr>
      </w:pPr>
    </w:p>
    <w:p w:rsidR="00155C90" w:rsidRDefault="00155C90" w:rsidP="00155C90">
      <w:pPr>
        <w:numPr>
          <w:ilvl w:val="0"/>
          <w:numId w:val="11"/>
        </w:numPr>
        <w:spacing w:after="120"/>
        <w:rPr>
          <w:rFonts w:ascii="Arial" w:hAnsi="Arial" w:cs="Arial"/>
          <w:sz w:val="20"/>
          <w:szCs w:val="20"/>
        </w:rPr>
      </w:pPr>
      <w:r>
        <w:rPr>
          <w:rFonts w:ascii="Arial" w:hAnsi="Arial" w:cs="Arial"/>
          <w:sz w:val="20"/>
          <w:szCs w:val="20"/>
        </w:rPr>
        <w:t>Periodic enrollment and investment education, through one or more of the following: on-site meetings, phone conference, web conference, Internet, phone (voice-response and live representatives), or written materials;</w:t>
      </w:r>
    </w:p>
    <w:p w:rsidR="00155C90" w:rsidRDefault="00155C90" w:rsidP="00155C90">
      <w:pPr>
        <w:numPr>
          <w:ilvl w:val="0"/>
          <w:numId w:val="11"/>
        </w:numPr>
        <w:spacing w:after="120"/>
        <w:rPr>
          <w:rFonts w:ascii="Arial" w:hAnsi="Arial" w:cs="Arial"/>
          <w:sz w:val="20"/>
          <w:szCs w:val="20"/>
        </w:rPr>
      </w:pPr>
      <w:r>
        <w:rPr>
          <w:rFonts w:ascii="Arial" w:hAnsi="Arial" w:cs="Arial"/>
          <w:sz w:val="20"/>
          <w:szCs w:val="20"/>
        </w:rPr>
        <w:t>ERISA Section 404(c) disclosure;</w:t>
      </w:r>
    </w:p>
    <w:p w:rsidR="00155C90" w:rsidRDefault="00155C90" w:rsidP="00155C90">
      <w:pPr>
        <w:numPr>
          <w:ilvl w:val="0"/>
          <w:numId w:val="11"/>
        </w:numPr>
        <w:spacing w:after="120"/>
        <w:rPr>
          <w:rFonts w:ascii="Arial" w:hAnsi="Arial" w:cs="Arial"/>
          <w:sz w:val="20"/>
          <w:szCs w:val="20"/>
        </w:rPr>
      </w:pPr>
      <w:r>
        <w:rPr>
          <w:rFonts w:ascii="Arial" w:hAnsi="Arial" w:cs="Arial"/>
          <w:sz w:val="20"/>
          <w:szCs w:val="20"/>
        </w:rPr>
        <w:t>Summary plan description made available to all participants;</w:t>
      </w:r>
    </w:p>
    <w:p w:rsidR="00155C90" w:rsidRDefault="00155C90" w:rsidP="00155C90">
      <w:pPr>
        <w:numPr>
          <w:ilvl w:val="0"/>
          <w:numId w:val="11"/>
        </w:numPr>
        <w:spacing w:after="120"/>
        <w:rPr>
          <w:rFonts w:ascii="Arial" w:hAnsi="Arial" w:cs="Arial"/>
          <w:sz w:val="20"/>
          <w:szCs w:val="20"/>
        </w:rPr>
      </w:pPr>
      <w:r>
        <w:rPr>
          <w:rFonts w:ascii="Arial" w:hAnsi="Arial" w:cs="Arial"/>
          <w:sz w:val="20"/>
          <w:szCs w:val="20"/>
        </w:rPr>
        <w:t>General information regarding investment risk, inflation, potential taxation impact, investment earnings, and asset classes;</w:t>
      </w:r>
    </w:p>
    <w:p w:rsidR="00155C90" w:rsidRDefault="00155C90" w:rsidP="00155C90">
      <w:pPr>
        <w:numPr>
          <w:ilvl w:val="0"/>
          <w:numId w:val="11"/>
        </w:numPr>
        <w:spacing w:after="120"/>
        <w:rPr>
          <w:rFonts w:ascii="Arial" w:hAnsi="Arial" w:cs="Arial"/>
          <w:sz w:val="20"/>
          <w:szCs w:val="20"/>
        </w:rPr>
      </w:pPr>
      <w:r>
        <w:rPr>
          <w:rFonts w:ascii="Arial" w:hAnsi="Arial" w:cs="Arial"/>
          <w:sz w:val="20"/>
          <w:szCs w:val="20"/>
        </w:rPr>
        <w:t>Other investment tools (e.g., investment risk profile questionnaire) to assist participants and beneficiaries in making educated and informed investment decisions; and</w:t>
      </w:r>
    </w:p>
    <w:p w:rsidR="00155C90" w:rsidRDefault="00155C90" w:rsidP="00155C90">
      <w:pPr>
        <w:numPr>
          <w:ilvl w:val="0"/>
          <w:numId w:val="11"/>
        </w:numPr>
        <w:rPr>
          <w:rFonts w:ascii="Arial" w:hAnsi="Arial" w:cs="Arial"/>
          <w:sz w:val="20"/>
          <w:szCs w:val="20"/>
        </w:rPr>
      </w:pPr>
      <w:r>
        <w:rPr>
          <w:rFonts w:ascii="Arial" w:hAnsi="Arial" w:cs="Arial"/>
          <w:sz w:val="20"/>
          <w:szCs w:val="20"/>
        </w:rPr>
        <w:t>All additional information required for disclosure by ERISA, the Internal Revenue Code of 1986, and all other Federal and state statutes and all regulations promulgated hereunder, and all regulatory guidance provided thereto.</w:t>
      </w:r>
    </w:p>
    <w:p w:rsidR="00155C90" w:rsidRDefault="00155C90" w:rsidP="00155C90">
      <w:pPr>
        <w:rPr>
          <w:rFonts w:ascii="Arial" w:hAnsi="Arial" w:cs="Arial"/>
          <w:sz w:val="20"/>
          <w:szCs w:val="20"/>
        </w:rPr>
      </w:pPr>
    </w:p>
    <w:p w:rsidR="00155C90" w:rsidRPr="00382F88" w:rsidRDefault="00155C90" w:rsidP="00155C90">
      <w:pPr>
        <w:rPr>
          <w:rFonts w:ascii="Arial" w:hAnsi="Arial" w:cs="Arial"/>
          <w:sz w:val="20"/>
          <w:szCs w:val="20"/>
        </w:rPr>
      </w:pPr>
      <w:r>
        <w:rPr>
          <w:rFonts w:ascii="Arial" w:hAnsi="Arial" w:cs="Arial"/>
          <w:sz w:val="20"/>
          <w:szCs w:val="20"/>
        </w:rPr>
        <w:t>Notwithstanding the foregoing, all investment education provided by the Plan and/or Committee, and all communications connected thereto, is not intended, nor shall it be construed, as investment advice to Plan participants.</w:t>
      </w:r>
    </w:p>
    <w:p w:rsidR="00155C90" w:rsidRDefault="00155C90" w:rsidP="00155C90">
      <w:pPr>
        <w:pStyle w:val="Heading3"/>
        <w:spacing w:before="0" w:beforeAutospacing="0" w:after="0" w:afterAutospacing="0"/>
        <w:rPr>
          <w:rFonts w:ascii="Arial" w:hAnsi="Arial" w:cs="Arial"/>
          <w:b w:val="0"/>
          <w:bCs w:val="0"/>
          <w:color w:val="808080"/>
          <w:sz w:val="20"/>
        </w:rPr>
      </w:pPr>
    </w:p>
    <w:p w:rsidR="00155C90" w:rsidRDefault="00155C90" w:rsidP="00155C90">
      <w:pPr>
        <w:pStyle w:val="Heading3"/>
        <w:spacing w:before="0" w:beforeAutospacing="0" w:after="0" w:afterAutospacing="0"/>
        <w:rPr>
          <w:rFonts w:ascii="Arial Black" w:hAnsi="Arial Black" w:cs="Arial"/>
          <w:b w:val="0"/>
          <w:bCs w:val="0"/>
          <w:color w:val="808080"/>
          <w:sz w:val="20"/>
        </w:rPr>
      </w:pPr>
      <w:r>
        <w:rPr>
          <w:rFonts w:ascii="Arial Black" w:hAnsi="Arial Black" w:cs="Arial"/>
          <w:b w:val="0"/>
          <w:bCs w:val="0"/>
          <w:color w:val="808080"/>
          <w:sz w:val="20"/>
        </w:rPr>
        <w:t>Part XI. COORDINATION WITH THE PLAN DOCUMENT AND APPLICABLE LAWS</w:t>
      </w:r>
    </w:p>
    <w:p w:rsidR="00155C90" w:rsidRDefault="00155C90" w:rsidP="00155C90">
      <w:pPr>
        <w:pStyle w:val="NormalWeb"/>
        <w:spacing w:before="0" w:beforeAutospacing="0" w:after="0" w:afterAutospacing="0"/>
        <w:rPr>
          <w:rFonts w:ascii="Arial" w:hAnsi="Arial" w:cs="Arial"/>
          <w:sz w:val="20"/>
        </w:rPr>
      </w:pPr>
      <w:r>
        <w:rPr>
          <w:rFonts w:ascii="Arial" w:hAnsi="Arial" w:cs="Arial"/>
          <w:sz w:val="20"/>
        </w:rPr>
        <w:t>Notwithstanding the foregoing, if any term or condition of this Investment Policy Statement conflicts with any section of ERISA or the Internal Revenue Code, or regulations promulgated hereunder, or any term or condition in the Plan document, the terms and conditions of ERISA, the Internal Revenue Code, and the Plan document shall control.</w:t>
      </w:r>
    </w:p>
    <w:p w:rsidR="00155C90" w:rsidRDefault="00155C90" w:rsidP="00155C90">
      <w:pPr>
        <w:pStyle w:val="Heading3"/>
        <w:spacing w:before="0" w:beforeAutospacing="0" w:after="0" w:afterAutospacing="0"/>
        <w:rPr>
          <w:rFonts w:ascii="Arial" w:hAnsi="Arial" w:cs="Arial"/>
          <w:sz w:val="20"/>
        </w:rPr>
      </w:pPr>
    </w:p>
    <w:p w:rsidR="00155C90" w:rsidRDefault="00155C90" w:rsidP="00155C90">
      <w:pPr>
        <w:pStyle w:val="Heading3"/>
        <w:spacing w:before="0" w:beforeAutospacing="0" w:after="0" w:afterAutospacing="0"/>
        <w:rPr>
          <w:rFonts w:ascii="Arial Black" w:hAnsi="Arial Black" w:cs="Arial"/>
          <w:b w:val="0"/>
          <w:bCs w:val="0"/>
          <w:color w:val="808080"/>
          <w:sz w:val="20"/>
        </w:rPr>
      </w:pPr>
      <w:r>
        <w:rPr>
          <w:rFonts w:ascii="Arial Black" w:hAnsi="Arial Black" w:cs="Arial"/>
          <w:b w:val="0"/>
          <w:bCs w:val="0"/>
          <w:color w:val="808080"/>
          <w:sz w:val="20"/>
        </w:rPr>
        <w:t>Part XII. ERISA 404(c)</w:t>
      </w:r>
    </w:p>
    <w:p w:rsidR="00155C90" w:rsidRDefault="00155C90" w:rsidP="00155C90">
      <w:pPr>
        <w:rPr>
          <w:rFonts w:ascii="Arial" w:hAnsi="Arial" w:cs="Arial"/>
          <w:sz w:val="20"/>
          <w:szCs w:val="20"/>
        </w:rPr>
      </w:pPr>
      <w:r>
        <w:rPr>
          <w:rFonts w:ascii="Arial" w:hAnsi="Arial" w:cs="Arial"/>
          <w:sz w:val="20"/>
          <w:szCs w:val="20"/>
        </w:rPr>
        <w:t xml:space="preserve">The Company and the Committee intend for the Plan to comply with ERISA Section 404(c) and the regulations promulgated thereunder. Each participant/beneficiary is provided the opportunity to exercise control and to give instructions over his/her account with a frequency that is appropriate for each investment option and, finally, to choose from a broad range of investment options. Plan fiduciaries are thus relieved from liability for investment performance directly resulting from investment decisions made by Plan participants. </w:t>
      </w:r>
    </w:p>
    <w:p w:rsidR="00511D2A" w:rsidRDefault="00511D2A" w:rsidP="00155C90">
      <w:pPr>
        <w:rPr>
          <w:rFonts w:ascii="Arial" w:hAnsi="Arial" w:cs="Arial"/>
          <w:sz w:val="20"/>
          <w:szCs w:val="20"/>
        </w:rPr>
      </w:pPr>
    </w:p>
    <w:p w:rsidR="00155C90" w:rsidRDefault="00155C90" w:rsidP="00155C90">
      <w:pPr>
        <w:rPr>
          <w:rFonts w:ascii="Arial" w:hAnsi="Arial" w:cs="Arial"/>
          <w:sz w:val="20"/>
          <w:szCs w:val="20"/>
        </w:rPr>
      </w:pPr>
      <w:r>
        <w:rPr>
          <w:rFonts w:ascii="Arial" w:hAnsi="Arial" w:cs="Arial"/>
          <w:sz w:val="20"/>
          <w:szCs w:val="20"/>
        </w:rPr>
        <w:t xml:space="preserve">The intention to comply with ERISA Section 404(c), and the regulations promulgated hereunder, should be communicated to employees in writing.  </w:t>
      </w:r>
    </w:p>
    <w:p w:rsidR="00155C90" w:rsidRPr="00E92EAB" w:rsidRDefault="00155C90" w:rsidP="00155C90">
      <w:pPr>
        <w:rPr>
          <w:rFonts w:ascii="Arial" w:hAnsi="Arial" w:cs="Arial"/>
          <w:sz w:val="20"/>
          <w:szCs w:val="20"/>
        </w:rPr>
      </w:pPr>
    </w:p>
    <w:p w:rsidR="00155C90" w:rsidRDefault="00155C90" w:rsidP="00155C90">
      <w:pPr>
        <w:pStyle w:val="Heading3"/>
        <w:spacing w:before="0" w:beforeAutospacing="0" w:after="0" w:afterAutospacing="0"/>
        <w:rPr>
          <w:rFonts w:ascii="Arial Black" w:hAnsi="Arial Black" w:cs="Arial"/>
          <w:b w:val="0"/>
          <w:bCs w:val="0"/>
          <w:color w:val="808080"/>
          <w:sz w:val="20"/>
        </w:rPr>
      </w:pPr>
      <w:r>
        <w:rPr>
          <w:rFonts w:ascii="Arial Black" w:hAnsi="Arial Black" w:cs="Arial"/>
          <w:b w:val="0"/>
          <w:bCs w:val="0"/>
          <w:color w:val="808080"/>
          <w:sz w:val="20"/>
        </w:rPr>
        <w:t>Part XIII. INVESTMENT INFORMATION AND ADMINISTRATIVE SUPPORT</w:t>
      </w:r>
    </w:p>
    <w:p w:rsidR="00155C90" w:rsidRDefault="00155C90" w:rsidP="00155C90">
      <w:pPr>
        <w:rPr>
          <w:rFonts w:ascii="Arial" w:hAnsi="Arial" w:cs="Arial"/>
          <w:sz w:val="20"/>
        </w:rPr>
      </w:pPr>
      <w:r>
        <w:rPr>
          <w:rFonts w:ascii="Arial" w:hAnsi="Arial" w:cs="Arial"/>
          <w:sz w:val="20"/>
        </w:rPr>
        <w:t>The Committee should require the investment manager and/or service provider (administrator, recordkeeper) to offer the following administrative information and support, competitive to that provided by other investment managers and/or service providers as it deems appropriate, which may include:</w:t>
      </w:r>
    </w:p>
    <w:p w:rsidR="00155C90" w:rsidRDefault="00155C90" w:rsidP="00155C90">
      <w:pPr>
        <w:rPr>
          <w:rFonts w:ascii="Arial" w:hAnsi="Arial" w:cs="Arial"/>
          <w:sz w:val="20"/>
        </w:rPr>
      </w:pPr>
    </w:p>
    <w:p w:rsidR="00155C90" w:rsidRDefault="00155C90" w:rsidP="00155C90">
      <w:pPr>
        <w:numPr>
          <w:ilvl w:val="0"/>
          <w:numId w:val="10"/>
        </w:numPr>
        <w:spacing w:after="120"/>
        <w:rPr>
          <w:rFonts w:ascii="Arial" w:hAnsi="Arial" w:cs="Arial"/>
          <w:sz w:val="20"/>
        </w:rPr>
      </w:pPr>
      <w:r>
        <w:rPr>
          <w:rFonts w:ascii="Arial" w:hAnsi="Arial" w:cs="Arial"/>
          <w:sz w:val="20"/>
        </w:rPr>
        <w:t>Daily valuation of all investments;</w:t>
      </w:r>
    </w:p>
    <w:p w:rsidR="00155C90" w:rsidRDefault="00155C90" w:rsidP="00155C90">
      <w:pPr>
        <w:numPr>
          <w:ilvl w:val="0"/>
          <w:numId w:val="10"/>
        </w:numPr>
        <w:spacing w:after="120"/>
        <w:rPr>
          <w:rFonts w:ascii="Arial" w:hAnsi="Arial" w:cs="Arial"/>
          <w:sz w:val="20"/>
        </w:rPr>
      </w:pPr>
      <w:r>
        <w:rPr>
          <w:rFonts w:ascii="Arial" w:hAnsi="Arial" w:cs="Arial"/>
          <w:sz w:val="20"/>
        </w:rPr>
        <w:t>Daily access to account information via toll-free number and Internet access;</w:t>
      </w:r>
    </w:p>
    <w:p w:rsidR="00155C90" w:rsidRDefault="00155C90" w:rsidP="00155C90">
      <w:pPr>
        <w:numPr>
          <w:ilvl w:val="0"/>
          <w:numId w:val="10"/>
        </w:numPr>
        <w:spacing w:after="120"/>
        <w:rPr>
          <w:rFonts w:ascii="Arial" w:hAnsi="Arial" w:cs="Arial"/>
          <w:sz w:val="20"/>
        </w:rPr>
      </w:pPr>
      <w:r>
        <w:rPr>
          <w:rFonts w:ascii="Arial" w:hAnsi="Arial" w:cs="Arial"/>
          <w:sz w:val="20"/>
        </w:rPr>
        <w:t>The ability to make investment transfers for both existing and future individual account</w:t>
      </w:r>
      <w:r w:rsidR="00157BA0">
        <w:rPr>
          <w:rFonts w:ascii="Arial" w:hAnsi="Arial" w:cs="Arial"/>
          <w:sz w:val="20"/>
        </w:rPr>
        <w:t xml:space="preserve"> balances on a daily basis (non</w:t>
      </w:r>
      <w:r>
        <w:rPr>
          <w:rFonts w:ascii="Arial" w:hAnsi="Arial" w:cs="Arial"/>
          <w:sz w:val="20"/>
        </w:rPr>
        <w:t>business days and holidays excluded). Certain trading practices may be limited to comply with market timing, excess trading, liquidity driven and/or related policies and procedures of the service provider and/or specific investment options;</w:t>
      </w:r>
    </w:p>
    <w:p w:rsidR="00155C90" w:rsidRDefault="00155C90" w:rsidP="00155C90">
      <w:pPr>
        <w:numPr>
          <w:ilvl w:val="0"/>
          <w:numId w:val="10"/>
        </w:numPr>
        <w:spacing w:after="120"/>
        <w:rPr>
          <w:rFonts w:ascii="Arial" w:hAnsi="Arial" w:cs="Arial"/>
          <w:sz w:val="20"/>
        </w:rPr>
      </w:pPr>
      <w:r>
        <w:rPr>
          <w:rFonts w:ascii="Arial" w:hAnsi="Arial" w:cs="Arial"/>
          <w:sz w:val="20"/>
        </w:rPr>
        <w:lastRenderedPageBreak/>
        <w:t>Participant account investment reports produced no less frequently than annually, with similar information available via the Internet at least quarterly; and</w:t>
      </w:r>
    </w:p>
    <w:p w:rsidR="00155C90" w:rsidRDefault="00155C90" w:rsidP="00155C90">
      <w:pPr>
        <w:numPr>
          <w:ilvl w:val="0"/>
          <w:numId w:val="10"/>
        </w:numPr>
        <w:rPr>
          <w:rFonts w:ascii="Arial" w:hAnsi="Arial" w:cs="Arial"/>
          <w:sz w:val="20"/>
        </w:rPr>
      </w:pPr>
      <w:r>
        <w:rPr>
          <w:rFonts w:ascii="Arial" w:hAnsi="Arial" w:cs="Arial"/>
          <w:sz w:val="20"/>
        </w:rPr>
        <w:t>Quarterly investment performance updates available for participant review via the Internet.</w:t>
      </w:r>
    </w:p>
    <w:p w:rsidR="00155C90" w:rsidRPr="009B40CD" w:rsidRDefault="00155C90" w:rsidP="00155C90">
      <w:pPr>
        <w:pStyle w:val="Heading3"/>
        <w:spacing w:before="0" w:beforeAutospacing="0" w:after="0" w:afterAutospacing="0"/>
        <w:rPr>
          <w:rFonts w:ascii="Arial" w:hAnsi="Arial" w:cs="Arial"/>
          <w:bCs w:val="0"/>
          <w:color w:val="808080"/>
          <w:sz w:val="20"/>
        </w:rPr>
      </w:pPr>
    </w:p>
    <w:p w:rsidR="00155C90" w:rsidRDefault="00155C90" w:rsidP="00155C90">
      <w:pPr>
        <w:pStyle w:val="Heading3"/>
        <w:spacing w:before="0" w:beforeAutospacing="0" w:after="0" w:afterAutospacing="0"/>
        <w:rPr>
          <w:rFonts w:ascii="Arial Black" w:hAnsi="Arial Black" w:cs="Arial"/>
          <w:b w:val="0"/>
          <w:bCs w:val="0"/>
          <w:color w:val="808080"/>
          <w:sz w:val="20"/>
        </w:rPr>
      </w:pPr>
      <w:r>
        <w:rPr>
          <w:rFonts w:ascii="Arial Black" w:hAnsi="Arial Black" w:cs="Arial"/>
          <w:b w:val="0"/>
          <w:bCs w:val="0"/>
          <w:color w:val="808080"/>
          <w:sz w:val="20"/>
        </w:rPr>
        <w:t>Part XIV. REVIEW PROCEDURES</w:t>
      </w:r>
    </w:p>
    <w:p w:rsidR="00155C90" w:rsidRDefault="00155C90" w:rsidP="00155C90">
      <w:pPr>
        <w:pStyle w:val="BodyText"/>
      </w:pPr>
      <w:r>
        <w:t>This Investment Policy Statement will be periodically reviewed and may be amended, if appropriate, at any time and without notice, by action of the Committee.</w:t>
      </w:r>
    </w:p>
    <w:p w:rsidR="00155C90" w:rsidRDefault="00155C90" w:rsidP="00155C90">
      <w:pPr>
        <w:pStyle w:val="NormalWeb"/>
        <w:spacing w:before="0" w:beforeAutospacing="0" w:after="0" w:afterAutospacing="0"/>
        <w:rPr>
          <w:rFonts w:ascii="Arial" w:hAnsi="Arial" w:cs="Arial"/>
          <w:sz w:val="20"/>
          <w:szCs w:val="20"/>
        </w:rPr>
      </w:pPr>
    </w:p>
    <w:p w:rsidR="00155C90" w:rsidRDefault="00155C90" w:rsidP="00155C90">
      <w:pPr>
        <w:pStyle w:val="NormalWeb"/>
        <w:spacing w:before="0" w:beforeAutospacing="0" w:after="0" w:afterAutospacing="0"/>
        <w:rPr>
          <w:rFonts w:ascii="Arial" w:hAnsi="Arial" w:cs="Arial"/>
          <w:sz w:val="20"/>
          <w:szCs w:val="20"/>
        </w:rPr>
      </w:pPr>
      <w:r>
        <w:rPr>
          <w:rFonts w:ascii="Arial" w:hAnsi="Arial" w:cs="Arial"/>
          <w:sz w:val="20"/>
          <w:szCs w:val="20"/>
        </w:rPr>
        <w:t>It is not expected that this Investment Policy Statement will change frequently. In particular, short-term changes in the financial markets should not require amendments to this Investment Policy Statement.</w:t>
      </w:r>
    </w:p>
    <w:p w:rsidR="00155C90" w:rsidRPr="00A45AA1" w:rsidRDefault="00155C90" w:rsidP="00155C90">
      <w:pPr>
        <w:pStyle w:val="NormalWeb"/>
        <w:spacing w:before="0" w:beforeAutospacing="0" w:after="0" w:afterAutospacing="0"/>
        <w:rPr>
          <w:rFonts w:ascii="Arial" w:hAnsi="Arial" w:cs="Arial"/>
          <w:b/>
          <w:i/>
          <w:color w:val="808080"/>
          <w:sz w:val="16"/>
          <w:szCs w:val="16"/>
        </w:rPr>
      </w:pPr>
    </w:p>
    <w:p w:rsidR="00155C90" w:rsidRDefault="00155C90" w:rsidP="00155C90">
      <w:pPr>
        <w:pStyle w:val="NormalWeb"/>
        <w:spacing w:before="0" w:beforeAutospacing="0" w:after="0" w:afterAutospacing="0"/>
        <w:rPr>
          <w:rFonts w:ascii="Arial" w:hAnsi="Arial" w:cs="Arial"/>
          <w:b/>
          <w:i/>
          <w:color w:val="808080"/>
          <w:sz w:val="20"/>
          <w:szCs w:val="20"/>
        </w:rPr>
      </w:pPr>
    </w:p>
    <w:p w:rsidR="00155C90" w:rsidRPr="008854F5" w:rsidRDefault="00155C90" w:rsidP="00155C90">
      <w:pPr>
        <w:pStyle w:val="NormalWeb"/>
        <w:spacing w:before="0" w:beforeAutospacing="0" w:after="0" w:afterAutospacing="0"/>
        <w:rPr>
          <w:rFonts w:ascii="Arial" w:hAnsi="Arial" w:cs="Arial"/>
          <w:b/>
          <w:i/>
          <w:color w:val="808080"/>
          <w:sz w:val="20"/>
          <w:szCs w:val="20"/>
        </w:rPr>
      </w:pPr>
      <w:r w:rsidRPr="008854F5">
        <w:rPr>
          <w:rFonts w:ascii="Arial" w:hAnsi="Arial" w:cs="Arial"/>
          <w:b/>
          <w:i/>
          <w:color w:val="808080"/>
          <w:sz w:val="20"/>
          <w:szCs w:val="20"/>
        </w:rPr>
        <w:t>NOTE:</w:t>
      </w:r>
      <w:r>
        <w:rPr>
          <w:rFonts w:ascii="Arial" w:hAnsi="Arial" w:cs="Arial"/>
          <w:b/>
          <w:i/>
          <w:color w:val="808080"/>
          <w:sz w:val="20"/>
          <w:szCs w:val="20"/>
        </w:rPr>
        <w:t xml:space="preserve"> </w:t>
      </w:r>
      <w:r w:rsidRPr="008854F5">
        <w:rPr>
          <w:rFonts w:ascii="Arial" w:hAnsi="Arial" w:cs="Arial"/>
          <w:b/>
          <w:i/>
          <w:color w:val="808080"/>
          <w:sz w:val="20"/>
          <w:szCs w:val="20"/>
        </w:rPr>
        <w:t>This document provides SAMPLE wording and should be reviewed by legal counsel prior to signing and executing.</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pBdr>
          <w:bottom w:val="single" w:sz="12" w:space="1" w:color="auto"/>
        </w:pBdr>
        <w:spacing w:before="0" w:beforeAutospacing="0" w:after="0" w:afterAutospacing="0"/>
        <w:rPr>
          <w:rFonts w:ascii="Arial" w:hAnsi="Arial" w:cs="Arial"/>
          <w:sz w:val="20"/>
        </w:rPr>
      </w:pPr>
    </w:p>
    <w:p w:rsidR="00155C90" w:rsidRDefault="00155C90" w:rsidP="00155C90">
      <w:pPr>
        <w:pStyle w:val="NormalWeb"/>
        <w:pBdr>
          <w:bottom w:val="single" w:sz="12" w:space="1" w:color="auto"/>
        </w:pBdr>
        <w:spacing w:before="0" w:beforeAutospacing="0" w:after="0" w:afterAutospacing="0"/>
        <w:rPr>
          <w:rFonts w:ascii="Arial" w:hAnsi="Arial" w:cs="Arial"/>
          <w:sz w:val="20"/>
        </w:rPr>
      </w:pPr>
    </w:p>
    <w:p w:rsidR="00155C90" w:rsidRDefault="00155C90" w:rsidP="00155C90">
      <w:pPr>
        <w:pStyle w:val="NormalWeb"/>
        <w:spacing w:before="0" w:beforeAutospacing="0" w:after="0" w:afterAutospacing="0"/>
        <w:rPr>
          <w:rFonts w:ascii="Arial" w:hAnsi="Arial" w:cs="Arial"/>
          <w:sz w:val="20"/>
          <w:szCs w:val="20"/>
        </w:rPr>
      </w:pPr>
      <w:r>
        <w:rPr>
          <w:rFonts w:ascii="Arial" w:hAnsi="Arial" w:cs="Arial"/>
          <w:sz w:val="20"/>
          <w:szCs w:val="20"/>
        </w:rPr>
        <w:t>Name of Plan Fiduciary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pBdr>
          <w:bottom w:val="single" w:sz="12" w:space="1" w:color="auto"/>
        </w:pBdr>
        <w:spacing w:before="0" w:beforeAutospacing="0" w:after="0" w:afterAutospacing="0"/>
        <w:rPr>
          <w:rFonts w:ascii="Arial" w:hAnsi="Arial" w:cs="Arial"/>
          <w:sz w:val="20"/>
        </w:rPr>
      </w:pPr>
    </w:p>
    <w:p w:rsidR="00155C90" w:rsidRDefault="00155C90" w:rsidP="00155C90">
      <w:pPr>
        <w:pStyle w:val="NormalWeb"/>
        <w:spacing w:before="0" w:beforeAutospacing="0" w:after="0" w:afterAutospacing="0"/>
        <w:rPr>
          <w:rFonts w:ascii="Arial" w:hAnsi="Arial" w:cs="Arial"/>
          <w:sz w:val="20"/>
          <w:szCs w:val="20"/>
        </w:rPr>
      </w:pPr>
      <w:r>
        <w:rPr>
          <w:rFonts w:ascii="Arial" w:hAnsi="Arial" w:cs="Arial"/>
          <w:sz w:val="20"/>
          <w:szCs w:val="20"/>
        </w:rPr>
        <w:t>Name of Plan Fiduciary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spacing w:before="0" w:beforeAutospacing="0" w:after="0" w:afterAutospacing="0"/>
        <w:rPr>
          <w:rFonts w:ascii="Arial" w:hAnsi="Arial" w:cs="Arial"/>
          <w:sz w:val="20"/>
        </w:rPr>
      </w:pPr>
    </w:p>
    <w:p w:rsidR="00155C90" w:rsidRDefault="00155C90" w:rsidP="00155C90">
      <w:pPr>
        <w:pStyle w:val="NormalWeb"/>
        <w:pBdr>
          <w:bottom w:val="single" w:sz="12" w:space="1" w:color="auto"/>
        </w:pBdr>
        <w:spacing w:before="0" w:beforeAutospacing="0" w:after="0" w:afterAutospacing="0"/>
        <w:rPr>
          <w:rFonts w:ascii="Arial" w:hAnsi="Arial" w:cs="Arial"/>
          <w:sz w:val="20"/>
        </w:rPr>
      </w:pPr>
    </w:p>
    <w:p w:rsidR="00155C90" w:rsidRPr="003C5314" w:rsidRDefault="00155C90" w:rsidP="00155C90">
      <w:pPr>
        <w:pStyle w:val="NormalWeb"/>
        <w:spacing w:before="0" w:beforeAutospacing="0" w:after="0" w:afterAutospacing="0"/>
        <w:rPr>
          <w:rFonts w:ascii="Arial" w:hAnsi="Arial" w:cs="Arial"/>
          <w:sz w:val="20"/>
          <w:szCs w:val="20"/>
        </w:rPr>
        <w:sectPr w:rsidR="00155C90" w:rsidRPr="003C5314" w:rsidSect="00277828">
          <w:headerReference w:type="default" r:id="rId7"/>
          <w:footerReference w:type="even" r:id="rId8"/>
          <w:footerReference w:type="default" r:id="rId9"/>
          <w:pgSz w:w="12240" w:h="15840" w:code="1"/>
          <w:pgMar w:top="1440" w:right="1296" w:bottom="1008" w:left="1296" w:header="576" w:footer="432" w:gutter="0"/>
          <w:pgNumType w:start="1"/>
          <w:cols w:space="720"/>
          <w:docGrid w:linePitch="360"/>
        </w:sectPr>
      </w:pPr>
      <w:r>
        <w:rPr>
          <w:rFonts w:ascii="Arial" w:hAnsi="Arial" w:cs="Arial"/>
          <w:sz w:val="20"/>
          <w:szCs w:val="20"/>
        </w:rPr>
        <w:t>Name of Plan Fiduciary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bookmarkStart w:id="4" w:name="_GoBack"/>
      <w:bookmarkEnd w:id="4"/>
      <w:r>
        <w:rPr>
          <w:rFonts w:ascii="Arial" w:hAnsi="Arial" w:cs="Arial"/>
          <w:sz w:val="20"/>
          <w:szCs w:val="20"/>
        </w:rPr>
        <w:tab/>
        <w:t>Date</w:t>
      </w:r>
    </w:p>
    <w:p w:rsidR="00155C90" w:rsidRDefault="00155C90" w:rsidP="00155C90">
      <w:pPr>
        <w:jc w:val="center"/>
        <w:rPr>
          <w:rFonts w:ascii="Arial Black" w:hAnsi="Arial Black" w:cs="Arial"/>
          <w:caps/>
          <w:color w:val="808080"/>
          <w:sz w:val="20"/>
          <w:szCs w:val="20"/>
          <w:u w:val="single"/>
        </w:rPr>
      </w:pPr>
      <w:r w:rsidRPr="00246668">
        <w:rPr>
          <w:rFonts w:ascii="Arial Black" w:hAnsi="Arial Black" w:cs="Arial"/>
          <w:caps/>
          <w:color w:val="808080"/>
          <w:sz w:val="20"/>
          <w:szCs w:val="20"/>
          <w:u w:val="single"/>
        </w:rPr>
        <w:lastRenderedPageBreak/>
        <w:t>Addendum to Part V</w:t>
      </w:r>
      <w:r>
        <w:rPr>
          <w:rFonts w:ascii="Arial Black" w:hAnsi="Arial Black" w:cs="Arial"/>
          <w:caps/>
          <w:color w:val="808080"/>
          <w:sz w:val="20"/>
          <w:szCs w:val="20"/>
          <w:u w:val="single"/>
        </w:rPr>
        <w:t>I</w:t>
      </w:r>
      <w:r w:rsidRPr="00246668">
        <w:rPr>
          <w:rFonts w:ascii="Arial Black" w:hAnsi="Arial Black" w:cs="Arial"/>
          <w:caps/>
          <w:color w:val="808080"/>
          <w:sz w:val="20"/>
          <w:szCs w:val="20"/>
          <w:u w:val="single"/>
        </w:rPr>
        <w:t>I: Investment Monitoring and Reporting</w:t>
      </w:r>
    </w:p>
    <w:p w:rsidR="00155C90" w:rsidRDefault="00155C90" w:rsidP="00155C90">
      <w:pPr>
        <w:rPr>
          <w:rFonts w:ascii="Arial" w:hAnsi="Arial" w:cs="Arial"/>
          <w:b/>
          <w:sz w:val="36"/>
          <w:szCs w:val="32"/>
        </w:rPr>
      </w:pPr>
    </w:p>
    <w:p w:rsidR="00155C90" w:rsidRPr="006F36D1" w:rsidRDefault="00155C90" w:rsidP="00155C90">
      <w:pPr>
        <w:rPr>
          <w:rFonts w:ascii="Arial" w:hAnsi="Arial" w:cs="Arial"/>
        </w:rPr>
      </w:pPr>
      <w:r w:rsidRPr="006A7645">
        <w:rPr>
          <w:rFonts w:ascii="Arial" w:hAnsi="Arial" w:cs="Arial"/>
          <w:b/>
          <w:sz w:val="36"/>
          <w:szCs w:val="32"/>
        </w:rPr>
        <w:t>Scorecar</w:t>
      </w:r>
      <w:r>
        <w:rPr>
          <w:rFonts w:ascii="Arial" w:hAnsi="Arial" w:cs="Arial"/>
          <w:b/>
          <w:sz w:val="36"/>
          <w:szCs w:val="32"/>
        </w:rPr>
        <w:t>d System Methodology™</w:t>
      </w:r>
      <w:r>
        <w:rPr>
          <w:rFonts w:ascii="Arial" w:hAnsi="Arial" w:cs="Arial"/>
          <w:b/>
          <w:sz w:val="36"/>
          <w:szCs w:val="32"/>
        </w:rPr>
        <w:tab/>
      </w:r>
      <w:r>
        <w:rPr>
          <w:rFonts w:ascii="Arial" w:hAnsi="Arial" w:cs="Arial"/>
          <w:b/>
          <w:sz w:val="36"/>
          <w:szCs w:val="32"/>
        </w:rPr>
        <w:tab/>
      </w:r>
      <w:r>
        <w:rPr>
          <w:rFonts w:ascii="Arial" w:hAnsi="Arial" w:cs="Arial"/>
          <w:b/>
          <w:sz w:val="36"/>
          <w:szCs w:val="32"/>
        </w:rPr>
        <w:tab/>
        <w:t xml:space="preserve">  </w:t>
      </w:r>
      <w:r>
        <w:rPr>
          <w:rFonts w:ascii="Arial" w:hAnsi="Arial" w:cs="Arial"/>
          <w:b/>
          <w:sz w:val="36"/>
          <w:szCs w:val="32"/>
        </w:rPr>
        <w:tab/>
        <w:t xml:space="preserve">      </w:t>
      </w:r>
      <w:r w:rsidRPr="00175991">
        <w:rPr>
          <w:rFonts w:ascii="Arial" w:hAnsi="Arial" w:cs="Arial"/>
          <w:b/>
          <w:color w:val="8496B0" w:themeColor="text2" w:themeTint="99"/>
          <w:sz w:val="36"/>
          <w:szCs w:val="32"/>
        </w:rPr>
        <w:t xml:space="preserve"> </w:t>
      </w:r>
    </w:p>
    <w:p w:rsidR="00155C90" w:rsidRPr="00D1564F" w:rsidRDefault="00155C90" w:rsidP="00155C90">
      <w:pPr>
        <w:rPr>
          <w:rFonts w:ascii="Century Gothic" w:hAnsi="Century Gothic"/>
          <w:sz w:val="36"/>
          <w:szCs w:val="32"/>
        </w:rPr>
      </w:pPr>
    </w:p>
    <w:p w:rsidR="00155C90" w:rsidRPr="00B52BD0" w:rsidRDefault="00155C90" w:rsidP="00155C90">
      <w:pPr>
        <w:rPr>
          <w:rFonts w:ascii="Arial" w:hAnsi="Arial" w:cs="Arial"/>
          <w:sz w:val="20"/>
          <w:szCs w:val="20"/>
        </w:rPr>
      </w:pPr>
      <w:r w:rsidRPr="00B52BD0">
        <w:rPr>
          <w:rFonts w:ascii="Arial" w:hAnsi="Arial" w:cs="Arial"/>
          <w:sz w:val="20"/>
          <w:szCs w:val="20"/>
        </w:rPr>
        <w:t xml:space="preserve">The </w:t>
      </w:r>
      <w:r w:rsidRPr="00B52BD0">
        <w:rPr>
          <w:rFonts w:ascii="Arial" w:hAnsi="Arial" w:cs="Arial"/>
          <w:b/>
          <w:bCs/>
          <w:sz w:val="20"/>
          <w:szCs w:val="20"/>
        </w:rPr>
        <w:t>Scorecard</w:t>
      </w:r>
      <w:r w:rsidRPr="00B52BD0">
        <w:rPr>
          <w:rFonts w:ascii="Arial" w:hAnsi="Arial" w:cs="Arial"/>
          <w:sz w:val="20"/>
          <w:szCs w:val="20"/>
        </w:rPr>
        <w:t xml:space="preserve"> </w:t>
      </w:r>
      <w:r w:rsidRPr="00B52BD0">
        <w:rPr>
          <w:rFonts w:ascii="Arial" w:hAnsi="Arial" w:cs="Arial"/>
          <w:b/>
          <w:sz w:val="20"/>
          <w:szCs w:val="20"/>
        </w:rPr>
        <w:t>System Methodology</w:t>
      </w:r>
      <w:r w:rsidRPr="00B52BD0">
        <w:rPr>
          <w:rFonts w:ascii="Arial" w:hAnsi="Arial" w:cs="Arial"/>
          <w:sz w:val="20"/>
          <w:szCs w:val="20"/>
        </w:rPr>
        <w:t xml:space="preserve"> incorporates both quantitative and qualitative factors in evaluating fund managers and their investment strategies. The </w:t>
      </w:r>
      <w:r w:rsidRPr="00B52BD0">
        <w:rPr>
          <w:rFonts w:ascii="Arial" w:hAnsi="Arial" w:cs="Arial"/>
          <w:b/>
          <w:bCs/>
          <w:sz w:val="20"/>
          <w:szCs w:val="20"/>
        </w:rPr>
        <w:t>Scorecard</w:t>
      </w:r>
      <w:r w:rsidRPr="00B52BD0">
        <w:rPr>
          <w:rFonts w:ascii="Arial" w:hAnsi="Arial" w:cs="Arial"/>
          <w:sz w:val="20"/>
          <w:szCs w:val="20"/>
        </w:rPr>
        <w:t xml:space="preserve"> </w:t>
      </w:r>
      <w:r w:rsidRPr="00B52BD0">
        <w:rPr>
          <w:rFonts w:ascii="Arial" w:hAnsi="Arial" w:cs="Arial"/>
          <w:b/>
          <w:sz w:val="20"/>
          <w:szCs w:val="20"/>
        </w:rPr>
        <w:t>System</w:t>
      </w:r>
      <w:r w:rsidRPr="00B52BD0">
        <w:rPr>
          <w:rFonts w:ascii="Arial" w:hAnsi="Arial" w:cs="Arial"/>
          <w:sz w:val="20"/>
          <w:szCs w:val="20"/>
        </w:rPr>
        <w:t xml:space="preserve"> is built around pass/fail criteria, on a scale of 0 to 10 (with 10 being the best) and has the ability to measure </w:t>
      </w:r>
      <w:r>
        <w:rPr>
          <w:rFonts w:ascii="Arial" w:hAnsi="Arial" w:cs="Arial"/>
          <w:sz w:val="20"/>
          <w:szCs w:val="20"/>
        </w:rPr>
        <w:t>a</w:t>
      </w:r>
      <w:r w:rsidRPr="00B52BD0">
        <w:rPr>
          <w:rFonts w:ascii="Arial" w:hAnsi="Arial" w:cs="Arial"/>
          <w:sz w:val="20"/>
          <w:szCs w:val="20"/>
        </w:rPr>
        <w:t xml:space="preserve">ctive, </w:t>
      </w:r>
      <w:r>
        <w:rPr>
          <w:rFonts w:ascii="Arial" w:hAnsi="Arial" w:cs="Arial"/>
          <w:sz w:val="20"/>
          <w:szCs w:val="20"/>
        </w:rPr>
        <w:t>p</w:t>
      </w:r>
      <w:r w:rsidRPr="00B52BD0">
        <w:rPr>
          <w:rFonts w:ascii="Arial" w:hAnsi="Arial" w:cs="Arial"/>
          <w:sz w:val="20"/>
          <w:szCs w:val="20"/>
        </w:rPr>
        <w:t xml:space="preserve">assive and </w:t>
      </w:r>
      <w:r>
        <w:rPr>
          <w:rFonts w:ascii="Arial" w:hAnsi="Arial" w:cs="Arial"/>
          <w:sz w:val="20"/>
          <w:szCs w:val="20"/>
        </w:rPr>
        <w:t>a</w:t>
      </w:r>
      <w:r w:rsidRPr="00B52BD0">
        <w:rPr>
          <w:rFonts w:ascii="Arial" w:hAnsi="Arial" w:cs="Arial"/>
          <w:sz w:val="20"/>
          <w:szCs w:val="20"/>
        </w:rPr>
        <w:t xml:space="preserve">sset </w:t>
      </w:r>
      <w:r>
        <w:rPr>
          <w:rFonts w:ascii="Arial" w:hAnsi="Arial" w:cs="Arial"/>
          <w:sz w:val="20"/>
          <w:szCs w:val="20"/>
        </w:rPr>
        <w:t>a</w:t>
      </w:r>
      <w:r w:rsidRPr="00B52BD0">
        <w:rPr>
          <w:rFonts w:ascii="Arial" w:hAnsi="Arial" w:cs="Arial"/>
          <w:sz w:val="20"/>
          <w:szCs w:val="20"/>
        </w:rPr>
        <w:t xml:space="preserve">llocation investing strategies. Active and </w:t>
      </w:r>
      <w:r>
        <w:rPr>
          <w:rFonts w:ascii="Arial" w:hAnsi="Arial" w:cs="Arial"/>
          <w:sz w:val="20"/>
          <w:szCs w:val="20"/>
        </w:rPr>
        <w:t>a</w:t>
      </w:r>
      <w:r w:rsidRPr="00B52BD0">
        <w:rPr>
          <w:rFonts w:ascii="Arial" w:hAnsi="Arial" w:cs="Arial"/>
          <w:sz w:val="20"/>
          <w:szCs w:val="20"/>
        </w:rPr>
        <w:t xml:space="preserve">sset </w:t>
      </w:r>
      <w:r>
        <w:rPr>
          <w:rFonts w:ascii="Arial" w:hAnsi="Arial" w:cs="Arial"/>
          <w:sz w:val="20"/>
          <w:szCs w:val="20"/>
        </w:rPr>
        <w:t>a</w:t>
      </w:r>
      <w:r w:rsidRPr="00B52BD0">
        <w:rPr>
          <w:rFonts w:ascii="Arial" w:hAnsi="Arial" w:cs="Arial"/>
          <w:sz w:val="20"/>
          <w:szCs w:val="20"/>
        </w:rPr>
        <w:t>llocation strategies are evalu</w:t>
      </w:r>
      <w:r>
        <w:rPr>
          <w:rFonts w:ascii="Arial" w:hAnsi="Arial" w:cs="Arial"/>
          <w:sz w:val="20"/>
          <w:szCs w:val="20"/>
        </w:rPr>
        <w:t>ated over a five-</w:t>
      </w:r>
      <w:r w:rsidRPr="00B52BD0">
        <w:rPr>
          <w:rFonts w:ascii="Arial" w:hAnsi="Arial" w:cs="Arial"/>
          <w:sz w:val="20"/>
          <w:szCs w:val="20"/>
        </w:rPr>
        <w:t xml:space="preserve">year time period, and </w:t>
      </w:r>
      <w:r>
        <w:rPr>
          <w:rFonts w:ascii="Arial" w:hAnsi="Arial" w:cs="Arial"/>
          <w:sz w:val="20"/>
          <w:szCs w:val="20"/>
        </w:rPr>
        <w:t>p</w:t>
      </w:r>
      <w:r w:rsidRPr="00B52BD0">
        <w:rPr>
          <w:rFonts w:ascii="Arial" w:hAnsi="Arial" w:cs="Arial"/>
          <w:sz w:val="20"/>
          <w:szCs w:val="20"/>
        </w:rPr>
        <w:t>assive strate</w:t>
      </w:r>
      <w:r>
        <w:rPr>
          <w:rFonts w:ascii="Arial" w:hAnsi="Arial" w:cs="Arial"/>
          <w:sz w:val="20"/>
          <w:szCs w:val="20"/>
        </w:rPr>
        <w:t>gies are evaluated over a three-</w:t>
      </w:r>
      <w:r w:rsidRPr="00B52BD0">
        <w:rPr>
          <w:rFonts w:ascii="Arial" w:hAnsi="Arial" w:cs="Arial"/>
          <w:sz w:val="20"/>
          <w:szCs w:val="20"/>
        </w:rPr>
        <w:t xml:space="preserve">year time period. </w:t>
      </w:r>
    </w:p>
    <w:p w:rsidR="00155C90" w:rsidRPr="00B52BD0" w:rsidRDefault="00155C90" w:rsidP="00155C90">
      <w:pPr>
        <w:rPr>
          <w:rFonts w:ascii="Arial" w:hAnsi="Arial" w:cs="Arial"/>
          <w:sz w:val="20"/>
          <w:szCs w:val="20"/>
        </w:rPr>
      </w:pPr>
      <w:r w:rsidRPr="00B52BD0">
        <w:rPr>
          <w:rFonts w:ascii="Arial" w:hAnsi="Arial" w:cs="Arial"/>
          <w:sz w:val="20"/>
          <w:szCs w:val="20"/>
        </w:rPr>
        <w:t xml:space="preserve">  </w:t>
      </w:r>
    </w:p>
    <w:p w:rsidR="00155C90" w:rsidRPr="00B52BD0" w:rsidRDefault="00155C90" w:rsidP="00155C90">
      <w:pPr>
        <w:rPr>
          <w:rFonts w:ascii="Arial" w:hAnsi="Arial" w:cs="Arial"/>
          <w:sz w:val="20"/>
          <w:szCs w:val="20"/>
        </w:rPr>
      </w:pPr>
      <w:r w:rsidRPr="00B52BD0">
        <w:rPr>
          <w:rFonts w:ascii="Arial" w:hAnsi="Arial" w:cs="Arial"/>
          <w:sz w:val="20"/>
          <w:szCs w:val="20"/>
        </w:rPr>
        <w:t xml:space="preserve">Eighty percent of the fund’s score is quantitative (made up of eight unique factors), incorporating modern portfolio theory statistics, quadratic optimization analysis, and peer group rankings (among a few of the quantitative factors). The other </w:t>
      </w:r>
      <w:r>
        <w:rPr>
          <w:rFonts w:ascii="Arial" w:hAnsi="Arial" w:cs="Arial"/>
          <w:sz w:val="20"/>
          <w:szCs w:val="20"/>
        </w:rPr>
        <w:t>20</w:t>
      </w:r>
      <w:r w:rsidRPr="00B52BD0">
        <w:rPr>
          <w:rFonts w:ascii="Arial" w:hAnsi="Arial" w:cs="Arial"/>
          <w:sz w:val="20"/>
          <w:szCs w:val="20"/>
        </w:rPr>
        <w:t xml:space="preserve"> percent of the score is qualitative, taking into account things such as manager tenure, the fund’s expense ratio relative to the average fund expense ratio in that asset class category, and the fund’s strength of statistics (statistical significance). Other criteria that may be considered in the qualitative score includes the viability of the firm managing the assets, management or personnel issues at the firm, and/or whether there has been a change in direction of the fund’s stated investment strategy. The following pages detail the specific factors for each type of investing strategies.  </w:t>
      </w:r>
    </w:p>
    <w:p w:rsidR="00155C90" w:rsidRPr="00B52BD0" w:rsidRDefault="00155C90" w:rsidP="00155C90">
      <w:pPr>
        <w:rPr>
          <w:rFonts w:ascii="Arial" w:hAnsi="Arial" w:cs="Arial"/>
          <w:sz w:val="20"/>
          <w:szCs w:val="20"/>
        </w:rPr>
      </w:pPr>
      <w:r w:rsidRPr="00B52BD0">
        <w:rPr>
          <w:rFonts w:ascii="Arial" w:hAnsi="Arial" w:cs="Arial"/>
          <w:sz w:val="20"/>
          <w:szCs w:val="20"/>
        </w:rPr>
        <w:t xml:space="preserve">  </w:t>
      </w:r>
    </w:p>
    <w:p w:rsidR="00155C90" w:rsidRPr="00B52BD0" w:rsidRDefault="00155C90" w:rsidP="00155C90">
      <w:pPr>
        <w:rPr>
          <w:rFonts w:ascii="Arial" w:hAnsi="Arial" w:cs="Arial"/>
          <w:sz w:val="20"/>
          <w:szCs w:val="20"/>
        </w:rPr>
      </w:pPr>
      <w:r w:rsidRPr="00B52BD0">
        <w:rPr>
          <w:rFonts w:ascii="Arial" w:hAnsi="Arial" w:cs="Arial"/>
          <w:sz w:val="20"/>
          <w:szCs w:val="20"/>
        </w:rPr>
        <w:t xml:space="preserve">Combined, these factors are a way of measuring the relative performance, characteristics, behavior and overall appropriateness of a fund for inclusion into a </w:t>
      </w:r>
      <w:r>
        <w:rPr>
          <w:rFonts w:ascii="Arial" w:hAnsi="Arial" w:cs="Arial"/>
          <w:sz w:val="20"/>
          <w:szCs w:val="20"/>
        </w:rPr>
        <w:t>plan</w:t>
      </w:r>
      <w:r w:rsidRPr="00B52BD0">
        <w:rPr>
          <w:rFonts w:ascii="Arial" w:hAnsi="Arial" w:cs="Arial"/>
          <w:sz w:val="20"/>
          <w:szCs w:val="20"/>
        </w:rPr>
        <w:t xml:space="preserve"> as an investment option. General fund guidelines are shown in the “Scorecard Point System” table below. The Scorecard Point System is meant to be used in conjunction with our sample Investment Policy Statement, in order to help identify what strategies need to be discussed as a “watch-list” or removal candidate; what strategies continue to meet some minimum standards and continue to be appropriate; and/or identify new top-ranked strategies for inclusion into a </w:t>
      </w:r>
      <w:r>
        <w:rPr>
          <w:rFonts w:ascii="Arial" w:hAnsi="Arial" w:cs="Arial"/>
          <w:sz w:val="20"/>
          <w:szCs w:val="20"/>
        </w:rPr>
        <w:t>plan</w:t>
      </w:r>
      <w:r w:rsidRPr="00B52BD0">
        <w:rPr>
          <w:rFonts w:ascii="Arial" w:hAnsi="Arial" w:cs="Arial"/>
          <w:sz w:val="20"/>
          <w:szCs w:val="20"/>
        </w:rPr>
        <w:t>.</w:t>
      </w:r>
    </w:p>
    <w:p w:rsidR="00155C90" w:rsidRDefault="00155C90" w:rsidP="00155C90">
      <w:pPr>
        <w:rPr>
          <w:rFonts w:ascii="Century Gothic" w:hAnsi="Century Gothic"/>
          <w:b/>
          <w:sz w:val="20"/>
          <w:szCs w:val="20"/>
        </w:rPr>
      </w:pPr>
    </w:p>
    <w:p w:rsidR="00155C90" w:rsidRDefault="00155C90" w:rsidP="00155C90">
      <w:pPr>
        <w:rPr>
          <w:rFonts w:ascii="Century Gothic" w:hAnsi="Century Gothic"/>
          <w:b/>
          <w:sz w:val="20"/>
          <w:szCs w:val="20"/>
        </w:rPr>
      </w:pPr>
    </w:p>
    <w:p w:rsidR="00155C90" w:rsidRDefault="00155C90" w:rsidP="00155C90">
      <w:pPr>
        <w:rPr>
          <w:rFonts w:ascii="Century Gothic" w:hAnsi="Century Gothic"/>
          <w:b/>
          <w:sz w:val="20"/>
          <w:szCs w:val="20"/>
        </w:rPr>
      </w:pPr>
    </w:p>
    <w:p w:rsidR="00155C90" w:rsidRDefault="00155C90" w:rsidP="00155C90">
      <w:pPr>
        <w:rPr>
          <w:rFonts w:ascii="Century Gothic" w:hAnsi="Century Gothic"/>
          <w:b/>
          <w:sz w:val="20"/>
          <w:szCs w:val="20"/>
        </w:rPr>
      </w:pPr>
    </w:p>
    <w:p w:rsidR="00155C90" w:rsidRDefault="00155C90" w:rsidP="00155C90">
      <w:pPr>
        <w:rPr>
          <w:rFonts w:ascii="Century Gothic" w:hAnsi="Century Gothic"/>
          <w:b/>
          <w:sz w:val="20"/>
          <w:szCs w:val="20"/>
        </w:rPr>
      </w:pPr>
    </w:p>
    <w:p w:rsidR="00155C90" w:rsidRDefault="00155C90" w:rsidP="00155C90">
      <w:pPr>
        <w:rPr>
          <w:rFonts w:ascii="Century Gothic" w:hAnsi="Century Gothic"/>
          <w:b/>
          <w:sz w:val="20"/>
          <w:szCs w:val="20"/>
        </w:rPr>
      </w:pPr>
    </w:p>
    <w:p w:rsidR="00155C90" w:rsidRDefault="00155C90" w:rsidP="00155C90">
      <w:pPr>
        <w:rPr>
          <w:rFonts w:ascii="Century Gothic" w:hAnsi="Century Gothic"/>
          <w:b/>
          <w:sz w:val="20"/>
          <w:szCs w:val="20"/>
        </w:rPr>
      </w:pPr>
    </w:p>
    <w:p w:rsidR="00155C90" w:rsidRDefault="00155C90" w:rsidP="00155C90">
      <w:pPr>
        <w:rPr>
          <w:rFonts w:ascii="Century Gothic" w:hAnsi="Century Gothic"/>
          <w:b/>
          <w:sz w:val="20"/>
          <w:szCs w:val="20"/>
        </w:rPr>
      </w:pPr>
    </w:p>
    <w:p w:rsidR="00155C90" w:rsidRDefault="00155C90" w:rsidP="00155C90">
      <w:pPr>
        <w:rPr>
          <w:rFonts w:ascii="Century Gothic" w:hAnsi="Century Gothic"/>
          <w:b/>
          <w:sz w:val="20"/>
          <w:szCs w:val="20"/>
        </w:rPr>
      </w:pPr>
    </w:p>
    <w:p w:rsidR="00155C90" w:rsidRDefault="00155C90" w:rsidP="00155C90">
      <w:pPr>
        <w:rPr>
          <w:rFonts w:ascii="Century Gothic" w:hAnsi="Century Gothic"/>
          <w:b/>
          <w:sz w:val="20"/>
          <w:szCs w:val="20"/>
        </w:rPr>
      </w:pPr>
    </w:p>
    <w:p w:rsidR="00155C90" w:rsidRDefault="00155C90" w:rsidP="00155C90">
      <w:pPr>
        <w:rPr>
          <w:rFonts w:ascii="Century Gothic" w:hAnsi="Century Gothic"/>
          <w:b/>
          <w:sz w:val="20"/>
          <w:szCs w:val="20"/>
        </w:rPr>
      </w:pPr>
    </w:p>
    <w:p w:rsidR="00155C90" w:rsidRDefault="00155C90" w:rsidP="00155C90">
      <w:pPr>
        <w:rPr>
          <w:rFonts w:ascii="Century Gothic" w:hAnsi="Century Gothic"/>
          <w:b/>
          <w:sz w:val="20"/>
          <w:szCs w:val="20"/>
        </w:rPr>
      </w:pPr>
    </w:p>
    <w:p w:rsidR="00155C90" w:rsidRDefault="00155C90" w:rsidP="00155C90">
      <w:pPr>
        <w:rPr>
          <w:rFonts w:ascii="Century Gothic" w:hAnsi="Century Gothic"/>
          <w:b/>
          <w:sz w:val="20"/>
          <w:szCs w:val="20"/>
        </w:rPr>
      </w:pPr>
    </w:p>
    <w:p w:rsidR="00155C90" w:rsidRDefault="00155C90" w:rsidP="00155C90">
      <w:pPr>
        <w:rPr>
          <w:rFonts w:ascii="Century Gothic" w:hAnsi="Century Gothic"/>
          <w:b/>
          <w:sz w:val="20"/>
          <w:szCs w:val="20"/>
        </w:rPr>
      </w:pPr>
    </w:p>
    <w:p w:rsidR="00155C90" w:rsidRDefault="00155C90" w:rsidP="00155C90">
      <w:pPr>
        <w:rPr>
          <w:rFonts w:ascii="Century Gothic" w:hAnsi="Century Gothic"/>
          <w:b/>
          <w:sz w:val="20"/>
          <w:szCs w:val="20"/>
        </w:rPr>
      </w:pPr>
    </w:p>
    <w:p w:rsidR="00155C90" w:rsidRPr="00B52BD0" w:rsidRDefault="00155C90" w:rsidP="00155C90">
      <w:pPr>
        <w:rPr>
          <w:rFonts w:ascii="Century Gothic" w:hAnsi="Century Gothic"/>
          <w:b/>
          <w:sz w:val="20"/>
          <w:szCs w:val="20"/>
        </w:rPr>
      </w:pPr>
    </w:p>
    <w:p w:rsidR="00155C90" w:rsidRDefault="00155C90" w:rsidP="00155C90">
      <w:pPr>
        <w:jc w:val="center"/>
        <w:rPr>
          <w:noProof/>
        </w:rPr>
      </w:pPr>
    </w:p>
    <w:tbl>
      <w:tblPr>
        <w:tblStyle w:val="TableGrid"/>
        <w:tblpPr w:leftFromText="187" w:rightFromText="187" w:vertAnchor="page" w:horzAnchor="margin" w:tblpXSpec="center" w:tblpY="85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3015"/>
      </w:tblGrid>
      <w:tr w:rsidR="00155C90" w:rsidRPr="00721976" w:rsidTr="00E1721C">
        <w:trPr>
          <w:trHeight w:val="581"/>
        </w:trPr>
        <w:tc>
          <w:tcPr>
            <w:tcW w:w="6029" w:type="dxa"/>
            <w:gridSpan w:val="2"/>
            <w:shd w:val="clear" w:color="auto" w:fill="44546A" w:themeFill="text2"/>
            <w:vAlign w:val="center"/>
          </w:tcPr>
          <w:p w:rsidR="00155C90" w:rsidRPr="00721976" w:rsidRDefault="00155C90" w:rsidP="00E1721C">
            <w:pPr>
              <w:overflowPunct/>
              <w:autoSpaceDE/>
              <w:autoSpaceDN/>
              <w:adjustRightInd/>
              <w:jc w:val="center"/>
              <w:textAlignment w:val="auto"/>
              <w:rPr>
                <w:rFonts w:ascii="Arial" w:hAnsi="Arial" w:cs="Arial"/>
                <w:b/>
                <w:i/>
                <w:color w:val="FFFFFF" w:themeColor="background1"/>
                <w:sz w:val="32"/>
                <w:szCs w:val="32"/>
              </w:rPr>
            </w:pPr>
            <w:r w:rsidRPr="00721976">
              <w:rPr>
                <w:rFonts w:ascii="Arial" w:hAnsi="Arial" w:cs="Arial"/>
                <w:b/>
                <w:i/>
                <w:color w:val="FFFFFF" w:themeColor="background1"/>
                <w:sz w:val="32"/>
                <w:szCs w:val="32"/>
              </w:rPr>
              <w:t>Scorecard Point System</w:t>
            </w:r>
          </w:p>
        </w:tc>
      </w:tr>
      <w:tr w:rsidR="00155C90" w:rsidRPr="00721976" w:rsidTr="00E1721C">
        <w:trPr>
          <w:trHeight w:val="517"/>
        </w:trPr>
        <w:tc>
          <w:tcPr>
            <w:tcW w:w="3014" w:type="dxa"/>
            <w:shd w:val="clear" w:color="auto" w:fill="D9D9D9" w:themeFill="background1" w:themeFillShade="D9"/>
            <w:vAlign w:val="center"/>
          </w:tcPr>
          <w:p w:rsidR="00155C90" w:rsidRPr="00721976" w:rsidRDefault="00155C90" w:rsidP="00E1721C">
            <w:pPr>
              <w:overflowPunct/>
              <w:autoSpaceDE/>
              <w:autoSpaceDN/>
              <w:adjustRightInd/>
              <w:jc w:val="center"/>
              <w:textAlignment w:val="auto"/>
              <w:rPr>
                <w:rFonts w:ascii="Arial" w:hAnsi="Arial" w:cs="Arial"/>
                <w:b/>
                <w:color w:val="44546A" w:themeColor="text2"/>
                <w:sz w:val="28"/>
                <w:szCs w:val="32"/>
              </w:rPr>
            </w:pPr>
            <w:r w:rsidRPr="00721976">
              <w:rPr>
                <w:rFonts w:ascii="Arial" w:hAnsi="Arial" w:cs="Arial"/>
                <w:b/>
                <w:color w:val="44546A" w:themeColor="text2"/>
                <w:sz w:val="28"/>
                <w:szCs w:val="32"/>
              </w:rPr>
              <w:t>Good:</w:t>
            </w:r>
          </w:p>
        </w:tc>
        <w:tc>
          <w:tcPr>
            <w:tcW w:w="3015" w:type="dxa"/>
            <w:shd w:val="clear" w:color="auto" w:fill="D9D9D9" w:themeFill="background1" w:themeFillShade="D9"/>
            <w:vAlign w:val="center"/>
          </w:tcPr>
          <w:p w:rsidR="00155C90" w:rsidRPr="00721976" w:rsidRDefault="00155C90" w:rsidP="00E1721C">
            <w:pPr>
              <w:overflowPunct/>
              <w:autoSpaceDE/>
              <w:autoSpaceDN/>
              <w:adjustRightInd/>
              <w:jc w:val="center"/>
              <w:textAlignment w:val="auto"/>
              <w:rPr>
                <w:rFonts w:ascii="Arial" w:hAnsi="Arial" w:cs="Arial"/>
                <w:b/>
                <w:color w:val="44546A" w:themeColor="text2"/>
                <w:sz w:val="28"/>
                <w:szCs w:val="32"/>
              </w:rPr>
            </w:pPr>
            <w:r w:rsidRPr="00721976">
              <w:rPr>
                <w:rFonts w:ascii="Arial" w:hAnsi="Arial" w:cs="Arial"/>
                <w:b/>
                <w:color w:val="44546A" w:themeColor="text2"/>
                <w:sz w:val="28"/>
                <w:szCs w:val="32"/>
              </w:rPr>
              <w:t>9-10 Points</w:t>
            </w:r>
          </w:p>
        </w:tc>
      </w:tr>
      <w:tr w:rsidR="00155C90" w:rsidRPr="00721976" w:rsidTr="00E1721C">
        <w:trPr>
          <w:trHeight w:val="517"/>
        </w:trPr>
        <w:tc>
          <w:tcPr>
            <w:tcW w:w="3014" w:type="dxa"/>
            <w:shd w:val="clear" w:color="auto" w:fill="D9D9D9" w:themeFill="background1" w:themeFillShade="D9"/>
            <w:vAlign w:val="center"/>
          </w:tcPr>
          <w:p w:rsidR="00155C90" w:rsidRPr="00721976" w:rsidRDefault="00155C90" w:rsidP="00E1721C">
            <w:pPr>
              <w:overflowPunct/>
              <w:autoSpaceDE/>
              <w:autoSpaceDN/>
              <w:adjustRightInd/>
              <w:jc w:val="center"/>
              <w:textAlignment w:val="auto"/>
              <w:rPr>
                <w:rFonts w:ascii="Arial" w:hAnsi="Arial" w:cs="Arial"/>
                <w:b/>
                <w:color w:val="44546A" w:themeColor="text2"/>
                <w:sz w:val="28"/>
                <w:szCs w:val="32"/>
              </w:rPr>
            </w:pPr>
            <w:r w:rsidRPr="00721976">
              <w:rPr>
                <w:rFonts w:ascii="Arial" w:hAnsi="Arial" w:cs="Arial"/>
                <w:b/>
                <w:color w:val="44546A" w:themeColor="text2"/>
                <w:sz w:val="28"/>
                <w:szCs w:val="32"/>
              </w:rPr>
              <w:t>Acceptable:</w:t>
            </w:r>
          </w:p>
        </w:tc>
        <w:tc>
          <w:tcPr>
            <w:tcW w:w="3015" w:type="dxa"/>
            <w:shd w:val="clear" w:color="auto" w:fill="D9D9D9" w:themeFill="background1" w:themeFillShade="D9"/>
            <w:vAlign w:val="center"/>
          </w:tcPr>
          <w:p w:rsidR="00155C90" w:rsidRPr="00721976" w:rsidRDefault="00155C90" w:rsidP="00E1721C">
            <w:pPr>
              <w:overflowPunct/>
              <w:autoSpaceDE/>
              <w:autoSpaceDN/>
              <w:adjustRightInd/>
              <w:jc w:val="center"/>
              <w:textAlignment w:val="auto"/>
              <w:rPr>
                <w:rFonts w:ascii="Arial" w:hAnsi="Arial" w:cs="Arial"/>
                <w:b/>
                <w:color w:val="44546A" w:themeColor="text2"/>
                <w:sz w:val="28"/>
                <w:szCs w:val="32"/>
              </w:rPr>
            </w:pPr>
            <w:r w:rsidRPr="00721976">
              <w:rPr>
                <w:rFonts w:ascii="Arial" w:hAnsi="Arial" w:cs="Arial"/>
                <w:b/>
                <w:color w:val="44546A" w:themeColor="text2"/>
                <w:sz w:val="28"/>
                <w:szCs w:val="32"/>
              </w:rPr>
              <w:t>7-8 Points</w:t>
            </w:r>
          </w:p>
        </w:tc>
      </w:tr>
      <w:tr w:rsidR="00155C90" w:rsidRPr="00721976" w:rsidTr="00E1721C">
        <w:trPr>
          <w:trHeight w:val="517"/>
        </w:trPr>
        <w:tc>
          <w:tcPr>
            <w:tcW w:w="3014" w:type="dxa"/>
            <w:shd w:val="clear" w:color="auto" w:fill="D9D9D9" w:themeFill="background1" w:themeFillShade="D9"/>
            <w:vAlign w:val="center"/>
          </w:tcPr>
          <w:p w:rsidR="00155C90" w:rsidRPr="00721976" w:rsidRDefault="00155C90" w:rsidP="00E1721C">
            <w:pPr>
              <w:overflowPunct/>
              <w:autoSpaceDE/>
              <w:autoSpaceDN/>
              <w:adjustRightInd/>
              <w:jc w:val="center"/>
              <w:textAlignment w:val="auto"/>
              <w:rPr>
                <w:rFonts w:ascii="Arial" w:hAnsi="Arial" w:cs="Arial"/>
                <w:b/>
                <w:color w:val="44546A" w:themeColor="text2"/>
                <w:sz w:val="28"/>
                <w:szCs w:val="32"/>
              </w:rPr>
            </w:pPr>
            <w:r w:rsidRPr="00721976">
              <w:rPr>
                <w:rFonts w:ascii="Arial" w:hAnsi="Arial" w:cs="Arial"/>
                <w:b/>
                <w:color w:val="44546A" w:themeColor="text2"/>
                <w:sz w:val="28"/>
                <w:szCs w:val="32"/>
              </w:rPr>
              <w:t>Watch:</w:t>
            </w:r>
          </w:p>
        </w:tc>
        <w:tc>
          <w:tcPr>
            <w:tcW w:w="3015" w:type="dxa"/>
            <w:shd w:val="clear" w:color="auto" w:fill="D9D9D9" w:themeFill="background1" w:themeFillShade="D9"/>
            <w:vAlign w:val="center"/>
          </w:tcPr>
          <w:p w:rsidR="00155C90" w:rsidRPr="00721976" w:rsidRDefault="00155C90" w:rsidP="00E1721C">
            <w:pPr>
              <w:overflowPunct/>
              <w:autoSpaceDE/>
              <w:autoSpaceDN/>
              <w:adjustRightInd/>
              <w:jc w:val="center"/>
              <w:textAlignment w:val="auto"/>
              <w:rPr>
                <w:rFonts w:ascii="Arial" w:hAnsi="Arial" w:cs="Arial"/>
                <w:b/>
                <w:color w:val="44546A" w:themeColor="text2"/>
                <w:sz w:val="28"/>
                <w:szCs w:val="32"/>
              </w:rPr>
            </w:pPr>
            <w:r w:rsidRPr="00721976">
              <w:rPr>
                <w:rFonts w:ascii="Arial" w:hAnsi="Arial" w:cs="Arial"/>
                <w:b/>
                <w:color w:val="44546A" w:themeColor="text2"/>
                <w:sz w:val="28"/>
                <w:szCs w:val="32"/>
              </w:rPr>
              <w:t>5-6 Points</w:t>
            </w:r>
          </w:p>
        </w:tc>
      </w:tr>
      <w:tr w:rsidR="00155C90" w:rsidRPr="00721976" w:rsidTr="00E1721C">
        <w:trPr>
          <w:trHeight w:val="550"/>
        </w:trPr>
        <w:tc>
          <w:tcPr>
            <w:tcW w:w="3014" w:type="dxa"/>
            <w:shd w:val="clear" w:color="auto" w:fill="D9D9D9" w:themeFill="background1" w:themeFillShade="D9"/>
            <w:vAlign w:val="center"/>
          </w:tcPr>
          <w:p w:rsidR="00155C90" w:rsidRPr="00721976" w:rsidRDefault="00155C90" w:rsidP="00E1721C">
            <w:pPr>
              <w:overflowPunct/>
              <w:autoSpaceDE/>
              <w:autoSpaceDN/>
              <w:adjustRightInd/>
              <w:jc w:val="center"/>
              <w:textAlignment w:val="auto"/>
              <w:rPr>
                <w:rFonts w:ascii="Arial" w:hAnsi="Arial" w:cs="Arial"/>
                <w:b/>
                <w:color w:val="44546A" w:themeColor="text2"/>
                <w:sz w:val="28"/>
                <w:szCs w:val="32"/>
              </w:rPr>
            </w:pPr>
            <w:r w:rsidRPr="00721976">
              <w:rPr>
                <w:rFonts w:ascii="Arial" w:hAnsi="Arial" w:cs="Arial"/>
                <w:b/>
                <w:color w:val="44546A" w:themeColor="text2"/>
                <w:sz w:val="28"/>
                <w:szCs w:val="32"/>
              </w:rPr>
              <w:t>Poor:</w:t>
            </w:r>
          </w:p>
        </w:tc>
        <w:tc>
          <w:tcPr>
            <w:tcW w:w="3015" w:type="dxa"/>
            <w:shd w:val="clear" w:color="auto" w:fill="D9D9D9" w:themeFill="background1" w:themeFillShade="D9"/>
            <w:vAlign w:val="center"/>
          </w:tcPr>
          <w:p w:rsidR="00155C90" w:rsidRPr="00721976" w:rsidRDefault="00155C90" w:rsidP="00E1721C">
            <w:pPr>
              <w:overflowPunct/>
              <w:autoSpaceDE/>
              <w:autoSpaceDN/>
              <w:adjustRightInd/>
              <w:jc w:val="center"/>
              <w:textAlignment w:val="auto"/>
              <w:rPr>
                <w:rFonts w:ascii="Arial" w:hAnsi="Arial" w:cs="Arial"/>
                <w:b/>
                <w:color w:val="44546A" w:themeColor="text2"/>
                <w:sz w:val="28"/>
                <w:szCs w:val="32"/>
              </w:rPr>
            </w:pPr>
            <w:r w:rsidRPr="00721976">
              <w:rPr>
                <w:rFonts w:ascii="Arial" w:hAnsi="Arial" w:cs="Arial"/>
                <w:b/>
                <w:color w:val="44546A" w:themeColor="text2"/>
                <w:sz w:val="28"/>
                <w:szCs w:val="32"/>
              </w:rPr>
              <w:t>0-4 Points</w:t>
            </w:r>
          </w:p>
        </w:tc>
      </w:tr>
    </w:tbl>
    <w:p w:rsidR="00155C90" w:rsidRDefault="00155C90" w:rsidP="00155C90">
      <w:pPr>
        <w:rPr>
          <w:noProof/>
        </w:rPr>
      </w:pPr>
    </w:p>
    <w:p w:rsidR="00155C90" w:rsidRDefault="00155C90" w:rsidP="00155C90">
      <w:pPr>
        <w:rPr>
          <w:noProof/>
        </w:rPr>
      </w:pPr>
    </w:p>
    <w:p w:rsidR="00155C90" w:rsidRDefault="00155C90" w:rsidP="00155C90">
      <w:pPr>
        <w:rPr>
          <w:noProof/>
        </w:rPr>
      </w:pPr>
    </w:p>
    <w:p w:rsidR="00155C90" w:rsidRDefault="00155C90" w:rsidP="00155C90">
      <w:pPr>
        <w:rPr>
          <w:noProof/>
        </w:rPr>
      </w:pPr>
    </w:p>
    <w:p w:rsidR="00155C90" w:rsidRDefault="00155C90" w:rsidP="00155C90">
      <w:pPr>
        <w:rPr>
          <w:noProof/>
        </w:rPr>
      </w:pPr>
    </w:p>
    <w:p w:rsidR="00155C90" w:rsidRDefault="00155C90" w:rsidP="00155C90">
      <w:pPr>
        <w:jc w:val="center"/>
        <w:rPr>
          <w:noProof/>
        </w:rPr>
      </w:pPr>
    </w:p>
    <w:p w:rsidR="00155C90" w:rsidRDefault="00155C90" w:rsidP="00155C90">
      <w:pPr>
        <w:jc w:val="center"/>
        <w:rPr>
          <w:noProof/>
        </w:rPr>
      </w:pPr>
    </w:p>
    <w:p w:rsidR="00155C90" w:rsidRDefault="00155C90" w:rsidP="00155C90">
      <w:pPr>
        <w:rPr>
          <w:rFonts w:ascii="Century Gothic" w:hAnsi="Century Gothic"/>
          <w:b/>
          <w:sz w:val="32"/>
          <w:szCs w:val="32"/>
        </w:rPr>
      </w:pPr>
    </w:p>
    <w:p w:rsidR="00155C90" w:rsidRPr="00175991" w:rsidRDefault="00155C90" w:rsidP="00155C90">
      <w:pPr>
        <w:rPr>
          <w:rFonts w:ascii="Arial" w:hAnsi="Arial" w:cs="Arial"/>
          <w:i/>
          <w:color w:val="8496B0" w:themeColor="text2" w:themeTint="99"/>
          <w:sz w:val="32"/>
          <w:szCs w:val="32"/>
        </w:rPr>
      </w:pPr>
      <w:r w:rsidRPr="00ED2A47">
        <w:rPr>
          <w:rFonts w:ascii="Arial" w:hAnsi="Arial" w:cs="Arial"/>
          <w:b/>
          <w:sz w:val="36"/>
          <w:szCs w:val="32"/>
        </w:rPr>
        <w:lastRenderedPageBreak/>
        <w:t>Scorecard System Methodology™</w:t>
      </w:r>
      <w:r w:rsidRPr="00ED2A47">
        <w:rPr>
          <w:rFonts w:ascii="Arial" w:hAnsi="Arial" w:cs="Arial"/>
          <w:b/>
          <w:sz w:val="36"/>
          <w:szCs w:val="32"/>
        </w:rPr>
        <w:tab/>
      </w:r>
      <w:r w:rsidRPr="00ED2A47">
        <w:rPr>
          <w:rFonts w:ascii="Arial" w:hAnsi="Arial" w:cs="Arial"/>
          <w:b/>
          <w:sz w:val="36"/>
          <w:szCs w:val="32"/>
        </w:rPr>
        <w:tab/>
      </w:r>
      <w:r w:rsidRPr="00ED2A47">
        <w:rPr>
          <w:rFonts w:ascii="Arial" w:hAnsi="Arial" w:cs="Arial"/>
          <w:b/>
          <w:sz w:val="36"/>
          <w:szCs w:val="32"/>
        </w:rPr>
        <w:tab/>
        <w:t xml:space="preserve">  </w:t>
      </w:r>
      <w:r w:rsidRPr="00ED2A47">
        <w:rPr>
          <w:rFonts w:ascii="Arial" w:hAnsi="Arial" w:cs="Arial"/>
          <w:b/>
          <w:sz w:val="36"/>
          <w:szCs w:val="32"/>
        </w:rPr>
        <w:tab/>
        <w:t xml:space="preserve">        </w:t>
      </w:r>
      <w:r w:rsidRPr="00ED2A47">
        <w:rPr>
          <w:rFonts w:ascii="Arial" w:hAnsi="Arial" w:cs="Arial"/>
          <w:i/>
          <w:color w:val="44546A" w:themeColor="text2"/>
          <w:sz w:val="32"/>
          <w:szCs w:val="32"/>
        </w:rPr>
        <w:t>Asset Allocation Strategies</w:t>
      </w:r>
    </w:p>
    <w:p w:rsidR="00155C90" w:rsidRPr="00B52BD0" w:rsidRDefault="00155C90" w:rsidP="00155C90">
      <w:pPr>
        <w:rPr>
          <w:rFonts w:ascii="Arial" w:hAnsi="Arial" w:cs="Arial"/>
          <w:sz w:val="20"/>
          <w:szCs w:val="20"/>
        </w:rPr>
      </w:pPr>
    </w:p>
    <w:p w:rsidR="00155C90" w:rsidRPr="00B52BD0" w:rsidRDefault="00155C90" w:rsidP="00155C90">
      <w:pPr>
        <w:rPr>
          <w:rFonts w:ascii="Arial" w:eastAsia="+mn-ea" w:hAnsi="Arial" w:cs="+mn-cs"/>
          <w:kern w:val="24"/>
          <w:sz w:val="20"/>
          <w:szCs w:val="20"/>
        </w:rPr>
      </w:pPr>
      <w:r w:rsidRPr="00B52BD0">
        <w:rPr>
          <w:rFonts w:ascii="Arial" w:eastAsia="+mn-ea" w:hAnsi="Arial" w:cs="+mn-cs"/>
          <w:b/>
          <w:bCs/>
          <w:kern w:val="24"/>
          <w:sz w:val="20"/>
          <w:szCs w:val="20"/>
        </w:rPr>
        <w:t>Asset allocation strategies</w:t>
      </w:r>
      <w:r w:rsidRPr="00B52BD0">
        <w:rPr>
          <w:rFonts w:ascii="Arial" w:eastAsia="+mn-ea" w:hAnsi="Arial" w:cs="+mn-cs"/>
          <w:kern w:val="24"/>
          <w:sz w:val="20"/>
          <w:szCs w:val="20"/>
        </w:rPr>
        <w:t xml:space="preserve"> are investment strategies that invest in a broad array of asset classes that may include U.S. equity, international equity, emerging markets, real estate, fixed income, high yield bonds and cash (to name a few asset classes). These strategies are typically structured in either a risk-based format (the strategies are managed to a level of risk, e.g., conservative or aggressive) or, in an age-based format (these strategies are managed to a retirement date or life expectancy date, typically growing more conservative as that date is approached). For this type of investment</w:t>
      </w:r>
      <w:r>
        <w:rPr>
          <w:rFonts w:ascii="Arial" w:eastAsia="+mn-ea" w:hAnsi="Arial" w:cs="+mn-cs"/>
          <w:kern w:val="24"/>
          <w:sz w:val="20"/>
          <w:szCs w:val="20"/>
        </w:rPr>
        <w:t xml:space="preserve"> </w:t>
      </w:r>
      <w:r w:rsidRPr="00B52BD0">
        <w:rPr>
          <w:rFonts w:ascii="Arial" w:eastAsia="+mn-ea" w:hAnsi="Arial" w:cs="+mn-cs"/>
          <w:kern w:val="24"/>
          <w:sz w:val="20"/>
          <w:szCs w:val="20"/>
        </w:rPr>
        <w:t xml:space="preserve">strategy, the </w:t>
      </w:r>
      <w:r w:rsidRPr="00B52BD0">
        <w:rPr>
          <w:rFonts w:ascii="Arial" w:eastAsia="+mn-ea" w:hAnsi="Arial" w:cs="+mn-cs"/>
          <w:b/>
          <w:bCs/>
          <w:kern w:val="24"/>
          <w:sz w:val="20"/>
          <w:szCs w:val="20"/>
        </w:rPr>
        <w:t>Scorecard</w:t>
      </w:r>
      <w:r w:rsidRPr="00B52BD0">
        <w:rPr>
          <w:rFonts w:ascii="Arial" w:eastAsia="+mn-ea" w:hAnsi="Arial" w:cs="+mn-cs"/>
          <w:kern w:val="24"/>
          <w:sz w:val="20"/>
          <w:szCs w:val="20"/>
        </w:rPr>
        <w:t xml:space="preserve"> </w:t>
      </w:r>
      <w:r w:rsidRPr="00B52BD0">
        <w:rPr>
          <w:rFonts w:ascii="Arial" w:eastAsia="+mn-ea" w:hAnsi="Arial" w:cs="+mn-cs"/>
          <w:b/>
          <w:kern w:val="24"/>
          <w:sz w:val="20"/>
          <w:szCs w:val="20"/>
        </w:rPr>
        <w:t>System</w:t>
      </w:r>
      <w:r w:rsidRPr="00B52BD0">
        <w:rPr>
          <w:rFonts w:ascii="Arial" w:eastAsia="+mn-ea" w:hAnsi="Arial" w:cs="+mn-cs"/>
          <w:kern w:val="24"/>
          <w:sz w:val="20"/>
          <w:szCs w:val="20"/>
        </w:rPr>
        <w:t xml:space="preserve"> is focused on how well these managers can add value from both asset allocation and manager selection.</w:t>
      </w:r>
    </w:p>
    <w:p w:rsidR="00155C90" w:rsidRPr="00B52BD0" w:rsidRDefault="00155C90" w:rsidP="00155C90">
      <w:pPr>
        <w:rPr>
          <w:rFonts w:ascii="Arial" w:eastAsia="+mn-ea" w:hAnsi="Arial" w:cs="+mn-cs"/>
          <w:i/>
          <w:iCs/>
          <w:kern w:val="24"/>
          <w:sz w:val="20"/>
          <w:szCs w:val="20"/>
        </w:rPr>
      </w:pPr>
      <w:r w:rsidRPr="00B52BD0">
        <w:rPr>
          <w:rFonts w:ascii="Arial" w:eastAsia="+mn-ea" w:hAnsi="Arial" w:cs="+mn-cs"/>
          <w:i/>
          <w:iCs/>
          <w:kern w:val="24"/>
          <w:sz w:val="20"/>
          <w:szCs w:val="20"/>
        </w:rPr>
        <w:tab/>
      </w:r>
      <w:r w:rsidRPr="00B52BD0">
        <w:rPr>
          <w:rFonts w:ascii="Arial" w:eastAsia="+mn-ea" w:hAnsi="Arial" w:cs="+mn-cs"/>
          <w:i/>
          <w:iCs/>
          <w:kern w:val="24"/>
          <w:sz w:val="20"/>
          <w:szCs w:val="20"/>
        </w:rPr>
        <w:tab/>
      </w:r>
      <w:r w:rsidRPr="00B52BD0">
        <w:rPr>
          <w:rFonts w:ascii="Arial" w:eastAsia="+mn-ea" w:hAnsi="Arial" w:cs="+mn-cs"/>
          <w:i/>
          <w:iCs/>
          <w:kern w:val="24"/>
          <w:sz w:val="20"/>
          <w:szCs w:val="20"/>
        </w:rPr>
        <w:tab/>
      </w:r>
      <w:r w:rsidRPr="00B52BD0">
        <w:rPr>
          <w:rFonts w:ascii="Arial" w:eastAsia="+mn-ea" w:hAnsi="Arial" w:cs="+mn-cs"/>
          <w:i/>
          <w:iCs/>
          <w:kern w:val="24"/>
          <w:sz w:val="20"/>
          <w:szCs w:val="20"/>
        </w:rPr>
        <w:tab/>
      </w:r>
      <w:r w:rsidRPr="00B52BD0">
        <w:rPr>
          <w:rFonts w:ascii="Arial" w:eastAsia="+mn-ea" w:hAnsi="Arial" w:cs="+mn-cs"/>
          <w:i/>
          <w:iCs/>
          <w:kern w:val="24"/>
          <w:sz w:val="20"/>
          <w:szCs w:val="20"/>
        </w:rPr>
        <w:tab/>
      </w:r>
      <w:r w:rsidRPr="00B52BD0">
        <w:rPr>
          <w:rFonts w:ascii="Arial" w:eastAsia="+mn-ea" w:hAnsi="Arial" w:cs="+mn-cs"/>
          <w:i/>
          <w:iCs/>
          <w:kern w:val="24"/>
          <w:sz w:val="20"/>
          <w:szCs w:val="20"/>
        </w:rPr>
        <w:tab/>
      </w:r>
      <w:r w:rsidRPr="00B52BD0">
        <w:rPr>
          <w:rFonts w:ascii="Arial" w:eastAsia="+mn-ea" w:hAnsi="Arial" w:cs="+mn-cs"/>
          <w:i/>
          <w:iCs/>
          <w:kern w:val="24"/>
          <w:sz w:val="20"/>
          <w:szCs w:val="20"/>
        </w:rPr>
        <w:tab/>
      </w:r>
      <w:r w:rsidRPr="00B52BD0">
        <w:rPr>
          <w:rFonts w:ascii="Arial" w:eastAsia="+mn-ea" w:hAnsi="Arial" w:cs="+mn-cs"/>
          <w:i/>
          <w:iCs/>
          <w:kern w:val="24"/>
          <w:sz w:val="20"/>
          <w:szCs w:val="20"/>
        </w:rPr>
        <w:tab/>
      </w:r>
      <w:r w:rsidRPr="00B52BD0">
        <w:rPr>
          <w:rFonts w:ascii="Arial" w:eastAsia="+mn-ea" w:hAnsi="Arial" w:cs="+mn-cs"/>
          <w:i/>
          <w:iCs/>
          <w:kern w:val="24"/>
          <w:sz w:val="20"/>
          <w:szCs w:val="20"/>
        </w:rPr>
        <w:tab/>
      </w:r>
      <w:r w:rsidRPr="00B52BD0">
        <w:rPr>
          <w:rFonts w:ascii="Arial" w:eastAsia="+mn-ea" w:hAnsi="Arial" w:cs="+mn-cs"/>
          <w:i/>
          <w:iCs/>
          <w:kern w:val="24"/>
          <w:sz w:val="20"/>
          <w:szCs w:val="20"/>
        </w:rPr>
        <w:tab/>
      </w:r>
      <w:r w:rsidRPr="00B52BD0">
        <w:rPr>
          <w:rFonts w:ascii="Arial" w:eastAsia="+mn-ea" w:hAnsi="Arial" w:cs="+mn-cs"/>
          <w:i/>
          <w:iCs/>
          <w:kern w:val="24"/>
          <w:sz w:val="20"/>
          <w:szCs w:val="20"/>
        </w:rPr>
        <w:tab/>
      </w:r>
      <w:r w:rsidRPr="00B52BD0">
        <w:rPr>
          <w:rFonts w:ascii="Arial" w:eastAsia="+mn-ea" w:hAnsi="Arial" w:cs="+mn-cs"/>
          <w:i/>
          <w:iCs/>
          <w:kern w:val="24"/>
          <w:sz w:val="20"/>
          <w:szCs w:val="20"/>
        </w:rPr>
        <w:tab/>
      </w:r>
      <w:r w:rsidRPr="00B52BD0">
        <w:rPr>
          <w:rFonts w:ascii="Arial" w:eastAsia="+mn-ea" w:hAnsi="Arial" w:cs="+mn-cs"/>
          <w:i/>
          <w:iCs/>
          <w:kern w:val="24"/>
          <w:sz w:val="20"/>
          <w:szCs w:val="20"/>
        </w:rPr>
        <w:tab/>
      </w:r>
    </w:p>
    <w:p w:rsidR="00155C90" w:rsidRPr="00B52BD0" w:rsidRDefault="00155C90" w:rsidP="00155C90">
      <w:pPr>
        <w:rPr>
          <w:rFonts w:ascii="Arial" w:eastAsia="+mn-ea" w:hAnsi="Arial" w:cs="+mn-cs"/>
          <w:kern w:val="24"/>
          <w:sz w:val="20"/>
          <w:szCs w:val="20"/>
        </w:rPr>
      </w:pPr>
      <w:r w:rsidRPr="00B52BD0">
        <w:rPr>
          <w:rFonts w:ascii="Arial" w:eastAsia="+mn-ea" w:hAnsi="Arial" w:cs="+mn-cs"/>
          <w:i/>
          <w:iCs/>
          <w:kern w:val="24"/>
          <w:sz w:val="20"/>
          <w:szCs w:val="20"/>
        </w:rPr>
        <w:t>Multisector Bond (MSB) asset class</w:t>
      </w:r>
      <w:r w:rsidRPr="00B52BD0">
        <w:rPr>
          <w:rFonts w:ascii="Arial" w:eastAsia="+mn-ea" w:hAnsi="Arial" w:cs="+mn-cs"/>
          <w:iCs/>
          <w:kern w:val="24"/>
          <w:sz w:val="20"/>
          <w:szCs w:val="20"/>
        </w:rPr>
        <w:t xml:space="preserve"> </w:t>
      </w:r>
      <w:r w:rsidRPr="00B52BD0">
        <w:rPr>
          <w:rFonts w:ascii="Arial" w:eastAsia="+mn-ea" w:hAnsi="Arial" w:cs="+mn-cs"/>
          <w:kern w:val="24"/>
          <w:sz w:val="20"/>
          <w:szCs w:val="20"/>
        </w:rPr>
        <w:t>follows the same evaluation criteria with some slightly differen</w:t>
      </w:r>
      <w:r>
        <w:rPr>
          <w:rFonts w:ascii="Arial" w:eastAsia="+mn-ea" w:hAnsi="Arial" w:cs="+mn-cs"/>
          <w:kern w:val="24"/>
          <w:sz w:val="20"/>
          <w:szCs w:val="20"/>
        </w:rPr>
        <w:t>t tolerance levels where noted.</w:t>
      </w:r>
      <w:r w:rsidRPr="00B52BD0">
        <w:rPr>
          <w:rFonts w:ascii="Arial" w:eastAsia="+mn-ea" w:hAnsi="Arial" w:cs="+mn-cs"/>
          <w:kern w:val="24"/>
          <w:sz w:val="20"/>
          <w:szCs w:val="20"/>
        </w:rPr>
        <w:t xml:space="preserve"> These managers are also evaluated on both their asset allocation and security selection.  </w:t>
      </w:r>
    </w:p>
    <w:p w:rsidR="00155C90" w:rsidRDefault="00155C90" w:rsidP="00155C90">
      <w:pPr>
        <w:rPr>
          <w:rFonts w:ascii="Arial" w:eastAsia="+mn-ea" w:hAnsi="Arial" w:cs="+mn-cs"/>
          <w:kern w:val="24"/>
          <w:szCs w:val="18"/>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4A0" w:firstRow="1" w:lastRow="0" w:firstColumn="1" w:lastColumn="0" w:noHBand="0" w:noVBand="1"/>
      </w:tblPr>
      <w:tblGrid>
        <w:gridCol w:w="1267"/>
        <w:gridCol w:w="7458"/>
        <w:gridCol w:w="1067"/>
      </w:tblGrid>
      <w:tr w:rsidR="00155C90" w:rsidRPr="00B52BD0" w:rsidTr="00E1721C">
        <w:trPr>
          <w:trHeight w:val="144"/>
          <w:jc w:val="center"/>
        </w:trPr>
        <w:tc>
          <w:tcPr>
            <w:tcW w:w="580" w:type="pct"/>
            <w:shd w:val="clear" w:color="auto" w:fill="7F7F7F" w:themeFill="text1" w:themeFillTint="80"/>
            <w:tcMar>
              <w:top w:w="72" w:type="dxa"/>
              <w:left w:w="72" w:type="dxa"/>
              <w:bottom w:w="72" w:type="dxa"/>
              <w:right w:w="72" w:type="dxa"/>
            </w:tcMar>
            <w:vAlign w:val="center"/>
            <w:hideMark/>
          </w:tcPr>
          <w:p w:rsidR="00155C90" w:rsidRPr="00B52BD0" w:rsidRDefault="00155C90" w:rsidP="00E1721C">
            <w:pPr>
              <w:spacing w:before="66" w:after="66"/>
              <w:jc w:val="center"/>
              <w:rPr>
                <w:rFonts w:ascii="Arial" w:hAnsi="Arial" w:cs="Arial"/>
                <w:b/>
                <w:color w:val="FFFFFF" w:themeColor="background1"/>
                <w:sz w:val="20"/>
                <w:szCs w:val="20"/>
              </w:rPr>
            </w:pPr>
            <w:r w:rsidRPr="00B52BD0">
              <w:rPr>
                <w:rFonts w:ascii="Arial" w:hAnsi="Arial" w:cs="Arial"/>
                <w:b/>
                <w:color w:val="FFFFFF" w:themeColor="background1"/>
                <w:sz w:val="20"/>
                <w:szCs w:val="20"/>
              </w:rPr>
              <w:t>Weightings</w:t>
            </w:r>
          </w:p>
        </w:tc>
        <w:tc>
          <w:tcPr>
            <w:tcW w:w="3934" w:type="pct"/>
            <w:shd w:val="clear" w:color="auto" w:fill="7F7F7F" w:themeFill="text1" w:themeFillTint="80"/>
            <w:vAlign w:val="center"/>
          </w:tcPr>
          <w:p w:rsidR="00155C90" w:rsidRPr="00B52BD0" w:rsidRDefault="00155C90" w:rsidP="00E1721C">
            <w:pPr>
              <w:spacing w:before="66" w:after="66"/>
              <w:jc w:val="center"/>
              <w:rPr>
                <w:rFonts w:ascii="Arial" w:hAnsi="Arial" w:cs="Arial"/>
                <w:color w:val="FFFFFF" w:themeColor="background1"/>
                <w:sz w:val="20"/>
                <w:szCs w:val="20"/>
              </w:rPr>
            </w:pPr>
            <w:r w:rsidRPr="00B52BD0">
              <w:rPr>
                <w:rFonts w:ascii="Arial" w:hAnsi="Arial" w:cs="Arial"/>
                <w:b/>
                <w:bCs/>
                <w:color w:val="FFFFFF" w:themeColor="background1"/>
                <w:kern w:val="24"/>
                <w:sz w:val="20"/>
                <w:szCs w:val="20"/>
              </w:rPr>
              <w:t>Asset Allocation Strategies</w:t>
            </w:r>
          </w:p>
        </w:tc>
        <w:tc>
          <w:tcPr>
            <w:tcW w:w="487" w:type="pct"/>
            <w:shd w:val="clear" w:color="auto" w:fill="7F7F7F" w:themeFill="text1" w:themeFillTint="80"/>
            <w:tcMar>
              <w:top w:w="72" w:type="dxa"/>
              <w:left w:w="72" w:type="dxa"/>
              <w:bottom w:w="72" w:type="dxa"/>
              <w:right w:w="72" w:type="dxa"/>
            </w:tcMar>
            <w:hideMark/>
          </w:tcPr>
          <w:p w:rsidR="00155C90" w:rsidRPr="00B52BD0" w:rsidRDefault="00155C90" w:rsidP="00E1721C">
            <w:pPr>
              <w:jc w:val="center"/>
              <w:rPr>
                <w:rFonts w:ascii="Arial" w:hAnsi="Arial" w:cs="Arial"/>
                <w:color w:val="FFFFFF" w:themeColor="background1"/>
                <w:sz w:val="20"/>
                <w:szCs w:val="20"/>
              </w:rPr>
            </w:pPr>
            <w:r w:rsidRPr="00B52BD0">
              <w:rPr>
                <w:rFonts w:ascii="Arial" w:hAnsi="Arial" w:cs="Arial"/>
                <w:b/>
                <w:bCs/>
                <w:color w:val="FFFFFF" w:themeColor="background1"/>
                <w:kern w:val="24"/>
                <w:sz w:val="20"/>
                <w:szCs w:val="20"/>
              </w:rPr>
              <w:t xml:space="preserve">Maximum Points </w:t>
            </w:r>
          </w:p>
        </w:tc>
      </w:tr>
      <w:tr w:rsidR="00155C90" w:rsidRPr="00B52BD0" w:rsidTr="00E1721C">
        <w:trPr>
          <w:trHeight w:val="432"/>
          <w:jc w:val="center"/>
        </w:trPr>
        <w:tc>
          <w:tcPr>
            <w:tcW w:w="580" w:type="pct"/>
            <w:vMerge w:val="restart"/>
            <w:shd w:val="clear" w:color="auto" w:fill="44546A" w:themeFill="text2"/>
            <w:tcMar>
              <w:top w:w="72" w:type="dxa"/>
              <w:left w:w="72" w:type="dxa"/>
              <w:bottom w:w="72" w:type="dxa"/>
              <w:right w:w="72" w:type="dxa"/>
            </w:tcMar>
            <w:vAlign w:val="center"/>
            <w:hideMark/>
          </w:tcPr>
          <w:p w:rsidR="00155C90" w:rsidRPr="00B52BD0" w:rsidRDefault="00155C90" w:rsidP="00E1721C">
            <w:pPr>
              <w:rPr>
                <w:rFonts w:ascii="Arial" w:hAnsi="Arial" w:cs="Arial"/>
                <w:b/>
                <w:color w:val="FFFFFF"/>
                <w:sz w:val="20"/>
                <w:szCs w:val="20"/>
              </w:rPr>
            </w:pPr>
            <w:r w:rsidRPr="00B52BD0">
              <w:rPr>
                <w:rFonts w:ascii="Arial" w:hAnsi="Arial" w:cs="Arial"/>
                <w:b/>
                <w:color w:val="FFFFFF"/>
                <w:kern w:val="24"/>
                <w:sz w:val="20"/>
                <w:szCs w:val="20"/>
              </w:rPr>
              <w:t>Style Factors 30%</w:t>
            </w:r>
          </w:p>
        </w:tc>
        <w:tc>
          <w:tcPr>
            <w:tcW w:w="3934" w:type="pct"/>
            <w:shd w:val="clear" w:color="auto" w:fill="FFFFFF" w:themeFill="background1"/>
            <w:tcMar>
              <w:top w:w="72" w:type="dxa"/>
              <w:left w:w="72" w:type="dxa"/>
              <w:bottom w:w="72" w:type="dxa"/>
              <w:right w:w="72" w:type="dxa"/>
            </w:tcMar>
            <w:hideMark/>
          </w:tcPr>
          <w:p w:rsidR="00155C90" w:rsidRPr="00B52BD0" w:rsidRDefault="00155C90" w:rsidP="00E1721C">
            <w:pPr>
              <w:pStyle w:val="NormalWeb"/>
              <w:spacing w:before="0" w:beforeAutospacing="0" w:after="60" w:afterAutospacing="0"/>
              <w:textAlignment w:val="baseline"/>
              <w:rPr>
                <w:rFonts w:ascii="Arial" w:hAnsi="Arial" w:cs="Arial"/>
                <w:color w:val="000000"/>
                <w:kern w:val="24"/>
                <w:sz w:val="20"/>
                <w:szCs w:val="20"/>
              </w:rPr>
            </w:pPr>
            <w:r w:rsidRPr="00B52BD0">
              <w:rPr>
                <w:rFonts w:ascii="Arial" w:hAnsi="Arial" w:cs="Arial"/>
                <w:b/>
                <w:bCs/>
                <w:color w:val="000000"/>
                <w:kern w:val="24"/>
                <w:sz w:val="20"/>
                <w:szCs w:val="20"/>
              </w:rPr>
              <w:t>Risk Level:</w:t>
            </w:r>
            <w:r w:rsidRPr="00B52BD0">
              <w:rPr>
                <w:rFonts w:ascii="Arial" w:hAnsi="Arial" w:cs="Arial"/>
                <w:color w:val="000000"/>
                <w:kern w:val="24"/>
                <w:sz w:val="20"/>
                <w:szCs w:val="20"/>
              </w:rPr>
              <w:t xml:space="preserve"> The fund’s standard deviation is measured against the category it is being analyzed in. The fund passes if it falls within the range for that category. </w:t>
            </w:r>
          </w:p>
        </w:tc>
        <w:tc>
          <w:tcPr>
            <w:tcW w:w="487" w:type="pct"/>
            <w:shd w:val="clear" w:color="auto" w:fill="44546A" w:themeFill="text2"/>
            <w:tcMar>
              <w:top w:w="72" w:type="dxa"/>
              <w:left w:w="72" w:type="dxa"/>
              <w:bottom w:w="72" w:type="dxa"/>
              <w:right w:w="72" w:type="dxa"/>
            </w:tcMar>
            <w:vAlign w:val="center"/>
            <w:hideMark/>
          </w:tcPr>
          <w:p w:rsidR="00155C90" w:rsidRPr="00B52BD0" w:rsidRDefault="00155C90" w:rsidP="00E1721C">
            <w:pPr>
              <w:ind w:right="-6"/>
              <w:jc w:val="center"/>
              <w:rPr>
                <w:rFonts w:ascii="Arial" w:hAnsi="Arial" w:cs="Arial"/>
                <w:b/>
                <w:color w:val="FFFFFF"/>
                <w:sz w:val="20"/>
                <w:szCs w:val="20"/>
              </w:rPr>
            </w:pPr>
            <w:r w:rsidRPr="00B52BD0">
              <w:rPr>
                <w:rFonts w:ascii="Arial" w:hAnsi="Arial" w:cs="Arial"/>
                <w:b/>
                <w:color w:val="FFFFFF"/>
                <w:sz w:val="20"/>
                <w:szCs w:val="20"/>
              </w:rPr>
              <w:t>1</w:t>
            </w:r>
          </w:p>
          <w:p w:rsidR="00155C90" w:rsidRPr="00B52BD0" w:rsidRDefault="00155C90" w:rsidP="00E1721C">
            <w:pPr>
              <w:ind w:right="-6"/>
              <w:rPr>
                <w:rFonts w:ascii="Arial" w:hAnsi="Arial" w:cs="Arial"/>
                <w:b/>
                <w:color w:val="FFFFFF"/>
                <w:sz w:val="20"/>
                <w:szCs w:val="20"/>
              </w:rPr>
            </w:pPr>
          </w:p>
        </w:tc>
      </w:tr>
      <w:tr w:rsidR="00155C90" w:rsidRPr="00B52BD0" w:rsidTr="00E1721C">
        <w:trPr>
          <w:trHeight w:val="432"/>
          <w:jc w:val="center"/>
        </w:trPr>
        <w:tc>
          <w:tcPr>
            <w:tcW w:w="580" w:type="pct"/>
            <w:vMerge/>
            <w:shd w:val="clear" w:color="auto" w:fill="44546A" w:themeFill="text2"/>
            <w:vAlign w:val="center"/>
            <w:hideMark/>
          </w:tcPr>
          <w:p w:rsidR="00155C90" w:rsidRPr="00B52BD0" w:rsidRDefault="00155C90" w:rsidP="00E1721C">
            <w:pPr>
              <w:rPr>
                <w:rFonts w:ascii="Arial" w:hAnsi="Arial" w:cs="Arial"/>
                <w:b/>
                <w:color w:val="FFFFFF"/>
                <w:sz w:val="20"/>
                <w:szCs w:val="20"/>
              </w:rPr>
            </w:pPr>
          </w:p>
        </w:tc>
        <w:tc>
          <w:tcPr>
            <w:tcW w:w="3934" w:type="pct"/>
            <w:shd w:val="clear" w:color="auto" w:fill="FFFFFF" w:themeFill="background1"/>
            <w:tcMar>
              <w:top w:w="72" w:type="dxa"/>
              <w:left w:w="72" w:type="dxa"/>
              <w:bottom w:w="72" w:type="dxa"/>
              <w:right w:w="72" w:type="dxa"/>
            </w:tcMar>
            <w:hideMark/>
          </w:tcPr>
          <w:p w:rsidR="00155C90" w:rsidRPr="00B52BD0" w:rsidRDefault="00155C90" w:rsidP="00E1721C">
            <w:pPr>
              <w:pStyle w:val="NormalWeb"/>
              <w:spacing w:before="0" w:beforeAutospacing="0" w:after="0" w:afterAutospacing="0"/>
              <w:textAlignment w:val="baseline"/>
              <w:rPr>
                <w:rFonts w:ascii="Arial" w:hAnsi="Arial" w:cs="Arial"/>
                <w:sz w:val="20"/>
                <w:szCs w:val="20"/>
              </w:rPr>
            </w:pPr>
            <w:r w:rsidRPr="00B52BD0">
              <w:rPr>
                <w:rFonts w:ascii="Arial" w:hAnsi="Arial" w:cs="Arial"/>
                <w:b/>
                <w:bCs/>
                <w:color w:val="000000"/>
                <w:kern w:val="24"/>
                <w:sz w:val="20"/>
                <w:szCs w:val="20"/>
              </w:rPr>
              <w:t>Style Diversity:</w:t>
            </w:r>
            <w:r w:rsidRPr="00B52BD0">
              <w:rPr>
                <w:rFonts w:ascii="Arial" w:hAnsi="Arial" w:cs="Arial"/>
                <w:color w:val="000000"/>
                <w:kern w:val="24"/>
                <w:sz w:val="20"/>
                <w:szCs w:val="20"/>
              </w:rPr>
              <w:t xml:space="preserve"> Fund passes if it reflects appropriate style diversity (returns-based) among the four major asset classes (Cash, Fixed Income, U.S. &amp; International Equity) for the given category. </w:t>
            </w:r>
            <w:r w:rsidRPr="00B52BD0">
              <w:rPr>
                <w:rFonts w:ascii="Arial" w:hAnsi="Arial" w:cs="Arial"/>
                <w:i/>
                <w:color w:val="000000"/>
                <w:kern w:val="24"/>
                <w:sz w:val="20"/>
                <w:szCs w:val="20"/>
              </w:rPr>
              <w:t xml:space="preserve">MSB </w:t>
            </w:r>
            <w:r w:rsidRPr="00B52BD0">
              <w:rPr>
                <w:rFonts w:ascii="Arial" w:hAnsi="Arial" w:cs="Arial"/>
                <w:color w:val="000000"/>
                <w:kern w:val="24"/>
                <w:sz w:val="20"/>
                <w:szCs w:val="20"/>
              </w:rPr>
              <w:t>funds pass if reflect some level of diversity among fixed income asset classes (Cash, U.S. Fixed Income, Non-U.S. Fixed Income and High Yield/Emerging Markets).</w:t>
            </w:r>
          </w:p>
        </w:tc>
        <w:tc>
          <w:tcPr>
            <w:tcW w:w="487" w:type="pct"/>
            <w:shd w:val="clear" w:color="auto" w:fill="44546A" w:themeFill="text2"/>
            <w:vAlign w:val="center"/>
            <w:hideMark/>
          </w:tcPr>
          <w:p w:rsidR="00155C90" w:rsidRPr="00B52BD0" w:rsidRDefault="00155C90" w:rsidP="00E1721C">
            <w:pPr>
              <w:jc w:val="center"/>
              <w:rPr>
                <w:rFonts w:ascii="Arial" w:hAnsi="Arial" w:cs="Arial"/>
                <w:b/>
                <w:color w:val="FFFFFF"/>
                <w:sz w:val="20"/>
                <w:szCs w:val="20"/>
              </w:rPr>
            </w:pPr>
            <w:r w:rsidRPr="00B52BD0">
              <w:rPr>
                <w:rFonts w:ascii="Arial" w:hAnsi="Arial" w:cs="Arial"/>
                <w:b/>
                <w:color w:val="FFFFFF"/>
                <w:sz w:val="20"/>
                <w:szCs w:val="20"/>
              </w:rPr>
              <w:t>1</w:t>
            </w:r>
          </w:p>
          <w:p w:rsidR="00155C90" w:rsidRPr="00B52BD0" w:rsidRDefault="00155C90" w:rsidP="00E1721C">
            <w:pPr>
              <w:jc w:val="center"/>
              <w:rPr>
                <w:rFonts w:ascii="Arial" w:hAnsi="Arial" w:cs="Arial"/>
                <w:b/>
                <w:color w:val="FFFFFF"/>
                <w:sz w:val="20"/>
                <w:szCs w:val="20"/>
              </w:rPr>
            </w:pPr>
          </w:p>
          <w:p w:rsidR="00155C90" w:rsidRPr="00B52BD0" w:rsidRDefault="00155C90" w:rsidP="00E1721C">
            <w:pPr>
              <w:jc w:val="center"/>
              <w:rPr>
                <w:rFonts w:ascii="Arial" w:hAnsi="Arial" w:cs="Arial"/>
                <w:b/>
                <w:color w:val="FFFFFF"/>
                <w:sz w:val="20"/>
                <w:szCs w:val="20"/>
              </w:rPr>
            </w:pPr>
          </w:p>
          <w:p w:rsidR="00155C90" w:rsidRPr="00B52BD0" w:rsidRDefault="00155C90" w:rsidP="00E1721C">
            <w:pPr>
              <w:jc w:val="center"/>
              <w:rPr>
                <w:rFonts w:ascii="Arial" w:hAnsi="Arial" w:cs="Arial"/>
                <w:b/>
                <w:color w:val="FFFFFF"/>
                <w:sz w:val="20"/>
                <w:szCs w:val="20"/>
              </w:rPr>
            </w:pPr>
          </w:p>
        </w:tc>
      </w:tr>
      <w:tr w:rsidR="00155C90" w:rsidRPr="00B52BD0" w:rsidTr="00E1721C">
        <w:trPr>
          <w:trHeight w:val="432"/>
          <w:jc w:val="center"/>
        </w:trPr>
        <w:tc>
          <w:tcPr>
            <w:tcW w:w="580" w:type="pct"/>
            <w:vMerge/>
            <w:shd w:val="clear" w:color="auto" w:fill="44546A" w:themeFill="text2"/>
            <w:vAlign w:val="center"/>
            <w:hideMark/>
          </w:tcPr>
          <w:p w:rsidR="00155C90" w:rsidRPr="00B52BD0" w:rsidRDefault="00155C90" w:rsidP="00E1721C">
            <w:pPr>
              <w:rPr>
                <w:rFonts w:ascii="Arial" w:hAnsi="Arial" w:cs="Arial"/>
                <w:b/>
                <w:color w:val="FFFFFF"/>
                <w:sz w:val="20"/>
                <w:szCs w:val="20"/>
              </w:rPr>
            </w:pPr>
          </w:p>
        </w:tc>
        <w:tc>
          <w:tcPr>
            <w:tcW w:w="3934" w:type="pct"/>
            <w:shd w:val="clear" w:color="auto" w:fill="FFFFFF" w:themeFill="background1"/>
            <w:tcMar>
              <w:top w:w="72" w:type="dxa"/>
              <w:left w:w="72" w:type="dxa"/>
              <w:bottom w:w="72" w:type="dxa"/>
              <w:right w:w="72" w:type="dxa"/>
            </w:tcMar>
            <w:hideMark/>
          </w:tcPr>
          <w:p w:rsidR="00155C90" w:rsidRPr="00B52BD0" w:rsidRDefault="00155C90" w:rsidP="00E1721C">
            <w:pPr>
              <w:pStyle w:val="NormalWeb"/>
              <w:spacing w:before="0" w:beforeAutospacing="0" w:after="0" w:afterAutospacing="0"/>
              <w:textAlignment w:val="baseline"/>
              <w:rPr>
                <w:rFonts w:ascii="Arial" w:hAnsi="Arial" w:cs="Arial"/>
                <w:sz w:val="20"/>
                <w:szCs w:val="20"/>
              </w:rPr>
            </w:pPr>
            <w:r w:rsidRPr="00B52BD0">
              <w:rPr>
                <w:rFonts w:ascii="Arial" w:hAnsi="Arial" w:cs="Arial"/>
                <w:b/>
                <w:bCs/>
                <w:color w:val="000000"/>
                <w:kern w:val="24"/>
                <w:sz w:val="20"/>
                <w:szCs w:val="20"/>
              </w:rPr>
              <w:t>R-Squared:</w:t>
            </w:r>
            <w:r w:rsidRPr="00B52BD0">
              <w:rPr>
                <w:rFonts w:ascii="Arial" w:hAnsi="Arial" w:cs="Arial"/>
                <w:color w:val="000000"/>
                <w:kern w:val="24"/>
                <w:sz w:val="20"/>
                <w:szCs w:val="20"/>
              </w:rPr>
              <w:t xml:space="preserve"> Measures the percentage of a fund’s returns that are explained by the benchmark. Fund passes with an R-squared greater than 90</w:t>
            </w:r>
            <w:r>
              <w:rPr>
                <w:rFonts w:ascii="Arial" w:hAnsi="Arial" w:cs="Arial"/>
                <w:color w:val="000000"/>
                <w:kern w:val="24"/>
                <w:sz w:val="20"/>
                <w:szCs w:val="20"/>
              </w:rPr>
              <w:t xml:space="preserve"> percent</w:t>
            </w:r>
            <w:r w:rsidRPr="00B52BD0">
              <w:rPr>
                <w:rFonts w:ascii="Arial" w:hAnsi="Arial" w:cs="Arial"/>
                <w:color w:val="000000"/>
                <w:kern w:val="24"/>
                <w:sz w:val="20"/>
                <w:szCs w:val="20"/>
              </w:rPr>
              <w:t>. This statistic measures whether the benchmark used in the analysis is appropriate.</w:t>
            </w:r>
          </w:p>
        </w:tc>
        <w:tc>
          <w:tcPr>
            <w:tcW w:w="487" w:type="pct"/>
            <w:shd w:val="clear" w:color="auto" w:fill="44546A" w:themeFill="text2"/>
            <w:vAlign w:val="center"/>
            <w:hideMark/>
          </w:tcPr>
          <w:p w:rsidR="00155C90" w:rsidRPr="00B52BD0" w:rsidRDefault="00155C90" w:rsidP="00E1721C">
            <w:pPr>
              <w:jc w:val="center"/>
              <w:rPr>
                <w:rFonts w:ascii="Arial" w:hAnsi="Arial" w:cs="Arial"/>
                <w:b/>
                <w:color w:val="FFFFFF"/>
                <w:sz w:val="20"/>
                <w:szCs w:val="20"/>
              </w:rPr>
            </w:pPr>
            <w:r w:rsidRPr="00B52BD0">
              <w:rPr>
                <w:rFonts w:ascii="Arial" w:hAnsi="Arial" w:cs="Arial"/>
                <w:b/>
                <w:color w:val="FFFFFF"/>
                <w:sz w:val="20"/>
                <w:szCs w:val="20"/>
              </w:rPr>
              <w:t>1</w:t>
            </w:r>
          </w:p>
          <w:p w:rsidR="00155C90" w:rsidRPr="00B52BD0" w:rsidRDefault="00155C90" w:rsidP="00E1721C">
            <w:pPr>
              <w:jc w:val="center"/>
              <w:rPr>
                <w:rFonts w:ascii="Arial" w:hAnsi="Arial" w:cs="Arial"/>
                <w:b/>
                <w:color w:val="FFFFFF"/>
                <w:sz w:val="20"/>
                <w:szCs w:val="20"/>
              </w:rPr>
            </w:pPr>
          </w:p>
        </w:tc>
      </w:tr>
      <w:tr w:rsidR="00155C90" w:rsidRPr="00B52BD0" w:rsidTr="00E1721C">
        <w:trPr>
          <w:trHeight w:val="431"/>
          <w:jc w:val="center"/>
        </w:trPr>
        <w:tc>
          <w:tcPr>
            <w:tcW w:w="580" w:type="pct"/>
            <w:vMerge w:val="restart"/>
            <w:shd w:val="clear" w:color="auto" w:fill="5B9BD5" w:themeFill="accent1"/>
            <w:tcMar>
              <w:top w:w="72" w:type="dxa"/>
              <w:left w:w="72" w:type="dxa"/>
              <w:bottom w:w="72" w:type="dxa"/>
              <w:right w:w="72" w:type="dxa"/>
            </w:tcMar>
            <w:vAlign w:val="center"/>
            <w:hideMark/>
          </w:tcPr>
          <w:p w:rsidR="00155C90" w:rsidRPr="00B52BD0" w:rsidRDefault="00155C90" w:rsidP="00E1721C">
            <w:pPr>
              <w:spacing w:before="54" w:after="54"/>
              <w:rPr>
                <w:rFonts w:ascii="Arial" w:hAnsi="Arial" w:cs="Arial"/>
                <w:b/>
                <w:color w:val="FFFFFF"/>
                <w:kern w:val="24"/>
                <w:sz w:val="20"/>
                <w:szCs w:val="20"/>
              </w:rPr>
            </w:pPr>
            <w:r w:rsidRPr="00B52BD0">
              <w:rPr>
                <w:rFonts w:ascii="Arial" w:hAnsi="Arial" w:cs="Arial"/>
                <w:b/>
                <w:color w:val="FFFFFF"/>
                <w:kern w:val="24"/>
                <w:sz w:val="20"/>
                <w:szCs w:val="20"/>
              </w:rPr>
              <w:t>Risk/Return Factors</w:t>
            </w:r>
          </w:p>
          <w:p w:rsidR="00155C90" w:rsidRPr="00B52BD0" w:rsidRDefault="00155C90" w:rsidP="00E1721C">
            <w:pPr>
              <w:spacing w:before="54" w:after="54"/>
              <w:rPr>
                <w:rFonts w:ascii="Arial" w:hAnsi="Arial" w:cs="Arial"/>
                <w:b/>
                <w:color w:val="FFFFFF"/>
                <w:sz w:val="20"/>
                <w:szCs w:val="20"/>
              </w:rPr>
            </w:pPr>
            <w:r w:rsidRPr="00B52BD0">
              <w:rPr>
                <w:rFonts w:ascii="Arial" w:hAnsi="Arial" w:cs="Arial"/>
                <w:b/>
                <w:color w:val="FFFFFF"/>
                <w:kern w:val="24"/>
                <w:sz w:val="20"/>
                <w:szCs w:val="20"/>
              </w:rPr>
              <w:t>30%</w:t>
            </w:r>
          </w:p>
        </w:tc>
        <w:tc>
          <w:tcPr>
            <w:tcW w:w="3934" w:type="pct"/>
            <w:shd w:val="clear" w:color="auto" w:fill="FFFFFF" w:themeFill="background1"/>
            <w:tcMar>
              <w:top w:w="72" w:type="dxa"/>
              <w:left w:w="72" w:type="dxa"/>
              <w:bottom w:w="72" w:type="dxa"/>
              <w:right w:w="72" w:type="dxa"/>
            </w:tcMar>
            <w:vAlign w:val="center"/>
            <w:hideMark/>
          </w:tcPr>
          <w:p w:rsidR="00155C90" w:rsidRPr="00B52BD0" w:rsidRDefault="00155C90" w:rsidP="00E1721C">
            <w:pPr>
              <w:pStyle w:val="NormalWeb"/>
              <w:spacing w:before="0" w:beforeAutospacing="0" w:after="60" w:afterAutospacing="0"/>
              <w:textAlignment w:val="baseline"/>
              <w:rPr>
                <w:rFonts w:ascii="Arial" w:hAnsi="Arial" w:cs="Arial"/>
                <w:b/>
                <w:bCs/>
                <w:color w:val="000000"/>
                <w:kern w:val="24"/>
                <w:sz w:val="20"/>
                <w:szCs w:val="20"/>
              </w:rPr>
            </w:pPr>
            <w:r w:rsidRPr="00B52BD0">
              <w:rPr>
                <w:rFonts w:ascii="Arial" w:hAnsi="Arial" w:cs="Arial"/>
                <w:b/>
                <w:bCs/>
                <w:color w:val="000000"/>
                <w:kern w:val="24"/>
                <w:sz w:val="20"/>
                <w:szCs w:val="20"/>
              </w:rPr>
              <w:t>Risk/Return:</w:t>
            </w:r>
            <w:r w:rsidRPr="00B52BD0">
              <w:rPr>
                <w:rFonts w:ascii="Arial" w:hAnsi="Arial" w:cs="Arial"/>
                <w:color w:val="000000"/>
                <w:kern w:val="24"/>
                <w:sz w:val="20"/>
                <w:szCs w:val="20"/>
              </w:rPr>
              <w:t xml:space="preserve"> Fund passes if its risk is less than the benchmark or its return is greater than the benchmark. Favorable risk/return characteristics are desired.</w:t>
            </w:r>
            <w:r w:rsidRPr="00B52BD0">
              <w:rPr>
                <w:rFonts w:ascii="Arial" w:hAnsi="Arial" w:cs="Arial"/>
                <w:b/>
                <w:bCs/>
                <w:color w:val="000000"/>
                <w:kern w:val="24"/>
                <w:sz w:val="20"/>
                <w:szCs w:val="20"/>
              </w:rPr>
              <w:t xml:space="preserve">  </w:t>
            </w:r>
          </w:p>
        </w:tc>
        <w:tc>
          <w:tcPr>
            <w:tcW w:w="487" w:type="pct"/>
            <w:shd w:val="clear" w:color="auto" w:fill="5B9BD5" w:themeFill="accent1"/>
            <w:tcMar>
              <w:top w:w="72" w:type="dxa"/>
              <w:left w:w="72" w:type="dxa"/>
              <w:bottom w:w="72" w:type="dxa"/>
              <w:right w:w="72" w:type="dxa"/>
            </w:tcMar>
            <w:vAlign w:val="center"/>
            <w:hideMark/>
          </w:tcPr>
          <w:p w:rsidR="00155C90" w:rsidRPr="00B52BD0" w:rsidRDefault="00155C90" w:rsidP="00E1721C">
            <w:pPr>
              <w:jc w:val="center"/>
              <w:rPr>
                <w:rFonts w:ascii="Arial" w:hAnsi="Arial" w:cs="Arial"/>
                <w:b/>
                <w:color w:val="FFFFFF"/>
                <w:sz w:val="20"/>
                <w:szCs w:val="20"/>
              </w:rPr>
            </w:pPr>
            <w:r w:rsidRPr="00B52BD0">
              <w:rPr>
                <w:rFonts w:ascii="Arial" w:hAnsi="Arial" w:cs="Arial"/>
                <w:b/>
                <w:color w:val="FFFFFF"/>
                <w:sz w:val="20"/>
                <w:szCs w:val="20"/>
              </w:rPr>
              <w:t>1</w:t>
            </w:r>
          </w:p>
          <w:p w:rsidR="00155C90" w:rsidRPr="00B52BD0" w:rsidRDefault="00155C90" w:rsidP="00E1721C">
            <w:pPr>
              <w:jc w:val="center"/>
              <w:rPr>
                <w:rFonts w:ascii="Arial" w:hAnsi="Arial" w:cs="Arial"/>
                <w:b/>
                <w:color w:val="FFFFFF"/>
                <w:sz w:val="20"/>
                <w:szCs w:val="20"/>
              </w:rPr>
            </w:pPr>
          </w:p>
        </w:tc>
      </w:tr>
      <w:tr w:rsidR="00155C90" w:rsidRPr="00B52BD0" w:rsidTr="00E1721C">
        <w:trPr>
          <w:trHeight w:val="576"/>
          <w:jc w:val="center"/>
        </w:trPr>
        <w:tc>
          <w:tcPr>
            <w:tcW w:w="580" w:type="pct"/>
            <w:vMerge/>
            <w:shd w:val="clear" w:color="auto" w:fill="5B9BD5" w:themeFill="accent1"/>
            <w:vAlign w:val="center"/>
            <w:hideMark/>
          </w:tcPr>
          <w:p w:rsidR="00155C90" w:rsidRPr="00B52BD0" w:rsidRDefault="00155C90" w:rsidP="00E1721C">
            <w:pPr>
              <w:rPr>
                <w:rFonts w:ascii="Arial" w:hAnsi="Arial" w:cs="Arial"/>
                <w:b/>
                <w:color w:val="FFFFFF"/>
                <w:sz w:val="20"/>
                <w:szCs w:val="20"/>
              </w:rPr>
            </w:pPr>
          </w:p>
        </w:tc>
        <w:tc>
          <w:tcPr>
            <w:tcW w:w="3934" w:type="pct"/>
            <w:shd w:val="clear" w:color="auto" w:fill="FFFFFF" w:themeFill="background1"/>
            <w:tcMar>
              <w:top w:w="72" w:type="dxa"/>
              <w:left w:w="72" w:type="dxa"/>
              <w:bottom w:w="72" w:type="dxa"/>
              <w:right w:w="72" w:type="dxa"/>
            </w:tcMar>
            <w:hideMark/>
          </w:tcPr>
          <w:p w:rsidR="00155C90" w:rsidRPr="00B52BD0" w:rsidRDefault="00155C90" w:rsidP="00E1721C">
            <w:pPr>
              <w:pStyle w:val="NormalWeb"/>
              <w:spacing w:before="0" w:beforeAutospacing="0" w:after="60" w:afterAutospacing="0"/>
              <w:textAlignment w:val="baseline"/>
              <w:rPr>
                <w:rFonts w:ascii="Arial" w:hAnsi="Arial" w:cs="Arial"/>
                <w:color w:val="000000"/>
                <w:kern w:val="24"/>
                <w:sz w:val="20"/>
                <w:szCs w:val="20"/>
              </w:rPr>
            </w:pPr>
            <w:r w:rsidRPr="00B52BD0">
              <w:rPr>
                <w:rFonts w:ascii="Arial" w:hAnsi="Arial" w:cs="Arial"/>
                <w:b/>
                <w:bCs/>
                <w:color w:val="000000"/>
                <w:kern w:val="24"/>
                <w:sz w:val="20"/>
                <w:szCs w:val="20"/>
              </w:rPr>
              <w:t>Up/Down Capture Analysis:</w:t>
            </w:r>
            <w:r w:rsidRPr="00B52BD0">
              <w:rPr>
                <w:rFonts w:ascii="Arial" w:hAnsi="Arial" w:cs="Arial"/>
                <w:color w:val="000000"/>
                <w:kern w:val="24"/>
                <w:sz w:val="20"/>
                <w:szCs w:val="20"/>
              </w:rPr>
              <w:t xml:space="preserve"> Measures the behavior of a fund in up and down markets. Fund passes with an up capture greater than its down capture. This analysis measures the relative value by the manager in up and down markets.</w:t>
            </w:r>
          </w:p>
        </w:tc>
        <w:tc>
          <w:tcPr>
            <w:tcW w:w="487" w:type="pct"/>
            <w:shd w:val="clear" w:color="auto" w:fill="5B9BD5" w:themeFill="accent1"/>
            <w:tcMar>
              <w:top w:w="72" w:type="dxa"/>
              <w:left w:w="72" w:type="dxa"/>
              <w:bottom w:w="72" w:type="dxa"/>
              <w:right w:w="72" w:type="dxa"/>
            </w:tcMar>
            <w:vAlign w:val="center"/>
            <w:hideMark/>
          </w:tcPr>
          <w:p w:rsidR="00155C90" w:rsidRPr="00B52BD0" w:rsidRDefault="00155C90" w:rsidP="00E1721C">
            <w:pPr>
              <w:jc w:val="center"/>
              <w:rPr>
                <w:rFonts w:ascii="Arial" w:hAnsi="Arial" w:cs="Arial"/>
                <w:b/>
                <w:color w:val="FFFFFF"/>
                <w:sz w:val="20"/>
                <w:szCs w:val="20"/>
              </w:rPr>
            </w:pPr>
            <w:r w:rsidRPr="00B52BD0">
              <w:rPr>
                <w:rFonts w:ascii="Arial" w:hAnsi="Arial" w:cs="Arial"/>
                <w:b/>
                <w:color w:val="FFFFFF"/>
                <w:sz w:val="20"/>
                <w:szCs w:val="20"/>
              </w:rPr>
              <w:t>1</w:t>
            </w:r>
          </w:p>
          <w:p w:rsidR="00155C90" w:rsidRPr="00B52BD0" w:rsidRDefault="00155C90" w:rsidP="00E1721C">
            <w:pPr>
              <w:jc w:val="center"/>
              <w:rPr>
                <w:rFonts w:ascii="Arial" w:hAnsi="Arial" w:cs="Arial"/>
                <w:b/>
                <w:color w:val="FFFFFF"/>
                <w:sz w:val="20"/>
                <w:szCs w:val="20"/>
              </w:rPr>
            </w:pPr>
          </w:p>
          <w:p w:rsidR="00155C90" w:rsidRPr="00B52BD0" w:rsidRDefault="00155C90" w:rsidP="00E1721C">
            <w:pPr>
              <w:jc w:val="center"/>
              <w:rPr>
                <w:rFonts w:ascii="Arial" w:hAnsi="Arial" w:cs="Arial"/>
                <w:b/>
                <w:color w:val="FFFFFF"/>
                <w:sz w:val="20"/>
                <w:szCs w:val="20"/>
              </w:rPr>
            </w:pPr>
          </w:p>
        </w:tc>
      </w:tr>
      <w:tr w:rsidR="00155C90" w:rsidRPr="00B52BD0" w:rsidTr="00E1721C">
        <w:trPr>
          <w:trHeight w:val="432"/>
          <w:jc w:val="center"/>
        </w:trPr>
        <w:tc>
          <w:tcPr>
            <w:tcW w:w="580" w:type="pct"/>
            <w:vMerge/>
            <w:shd w:val="clear" w:color="auto" w:fill="5B9BD5" w:themeFill="accent1"/>
            <w:vAlign w:val="center"/>
            <w:hideMark/>
          </w:tcPr>
          <w:p w:rsidR="00155C90" w:rsidRPr="00B52BD0" w:rsidRDefault="00155C90" w:rsidP="00E1721C">
            <w:pPr>
              <w:rPr>
                <w:rFonts w:ascii="Arial" w:hAnsi="Arial" w:cs="Arial"/>
                <w:b/>
                <w:color w:val="FFFFFF"/>
                <w:sz w:val="20"/>
                <w:szCs w:val="20"/>
              </w:rPr>
            </w:pPr>
          </w:p>
        </w:tc>
        <w:tc>
          <w:tcPr>
            <w:tcW w:w="3934" w:type="pct"/>
            <w:shd w:val="clear" w:color="auto" w:fill="FFFFFF" w:themeFill="background1"/>
            <w:tcMar>
              <w:top w:w="72" w:type="dxa"/>
              <w:left w:w="72" w:type="dxa"/>
              <w:bottom w:w="72" w:type="dxa"/>
              <w:right w:w="72" w:type="dxa"/>
            </w:tcMar>
            <w:hideMark/>
          </w:tcPr>
          <w:p w:rsidR="00155C90" w:rsidRPr="00B52BD0" w:rsidRDefault="00155C90" w:rsidP="00E1721C">
            <w:pPr>
              <w:pStyle w:val="NormalWeb"/>
              <w:spacing w:before="0" w:beforeAutospacing="0" w:after="0" w:afterAutospacing="0"/>
              <w:textAlignment w:val="baseline"/>
              <w:rPr>
                <w:rFonts w:ascii="Arial" w:hAnsi="Arial" w:cs="Arial"/>
                <w:sz w:val="20"/>
                <w:szCs w:val="20"/>
              </w:rPr>
            </w:pPr>
            <w:r w:rsidRPr="00B52BD0">
              <w:rPr>
                <w:rFonts w:ascii="Arial" w:hAnsi="Arial" w:cs="Arial"/>
                <w:b/>
                <w:bCs/>
                <w:color w:val="000000"/>
                <w:kern w:val="24"/>
                <w:sz w:val="20"/>
                <w:szCs w:val="20"/>
              </w:rPr>
              <w:t>Information Ratio:</w:t>
            </w:r>
            <w:r w:rsidRPr="00B52BD0">
              <w:rPr>
                <w:rFonts w:ascii="Arial" w:hAnsi="Arial" w:cs="Arial"/>
                <w:color w:val="000000"/>
                <w:kern w:val="24"/>
                <w:sz w:val="20"/>
                <w:szCs w:val="20"/>
              </w:rPr>
              <w:t xml:space="preserve"> Measures a fund’s relative risk and return. Fund passes if ratio is greater than 0. This statistic measures the value added above the benchmark, adjusted for risk.</w:t>
            </w:r>
          </w:p>
        </w:tc>
        <w:tc>
          <w:tcPr>
            <w:tcW w:w="487" w:type="pct"/>
            <w:shd w:val="clear" w:color="auto" w:fill="5B9BD5" w:themeFill="accent1"/>
            <w:vAlign w:val="center"/>
            <w:hideMark/>
          </w:tcPr>
          <w:p w:rsidR="00155C90" w:rsidRPr="00B52BD0" w:rsidRDefault="00155C90" w:rsidP="00E1721C">
            <w:pPr>
              <w:jc w:val="center"/>
              <w:rPr>
                <w:rFonts w:ascii="Arial" w:hAnsi="Arial" w:cs="Arial"/>
                <w:b/>
                <w:color w:val="FFFFFF"/>
                <w:sz w:val="20"/>
                <w:szCs w:val="20"/>
              </w:rPr>
            </w:pPr>
            <w:r w:rsidRPr="00B52BD0">
              <w:rPr>
                <w:rFonts w:ascii="Arial" w:hAnsi="Arial" w:cs="Arial"/>
                <w:b/>
                <w:color w:val="FFFFFF"/>
                <w:sz w:val="20"/>
                <w:szCs w:val="20"/>
              </w:rPr>
              <w:t>1</w:t>
            </w:r>
          </w:p>
          <w:p w:rsidR="00155C90" w:rsidRPr="00B52BD0" w:rsidRDefault="00155C90" w:rsidP="00E1721C">
            <w:pPr>
              <w:jc w:val="center"/>
              <w:rPr>
                <w:rFonts w:ascii="Arial" w:hAnsi="Arial" w:cs="Arial"/>
                <w:b/>
                <w:color w:val="FFFFFF"/>
                <w:sz w:val="20"/>
                <w:szCs w:val="20"/>
              </w:rPr>
            </w:pPr>
          </w:p>
        </w:tc>
      </w:tr>
      <w:tr w:rsidR="00155C90" w:rsidRPr="00B52BD0" w:rsidTr="00E1721C">
        <w:trPr>
          <w:trHeight w:val="288"/>
          <w:jc w:val="center"/>
        </w:trPr>
        <w:tc>
          <w:tcPr>
            <w:tcW w:w="580" w:type="pct"/>
            <w:vMerge w:val="restart"/>
            <w:shd w:val="clear" w:color="auto" w:fill="9CC2E5" w:themeFill="accent1" w:themeFillTint="99"/>
            <w:tcMar>
              <w:top w:w="72" w:type="dxa"/>
              <w:left w:w="72" w:type="dxa"/>
              <w:bottom w:w="72" w:type="dxa"/>
              <w:right w:w="72" w:type="dxa"/>
            </w:tcMar>
            <w:vAlign w:val="center"/>
            <w:hideMark/>
          </w:tcPr>
          <w:p w:rsidR="00155C90" w:rsidRPr="00B52BD0" w:rsidRDefault="00155C90" w:rsidP="00E1721C">
            <w:pPr>
              <w:rPr>
                <w:rFonts w:ascii="Arial" w:hAnsi="Arial" w:cs="Arial"/>
                <w:b/>
                <w:color w:val="FFFFFF"/>
                <w:sz w:val="20"/>
                <w:szCs w:val="20"/>
              </w:rPr>
            </w:pPr>
            <w:r w:rsidRPr="00B52BD0">
              <w:rPr>
                <w:rFonts w:ascii="Arial" w:hAnsi="Arial" w:cs="Arial"/>
                <w:b/>
                <w:color w:val="FFFFFF"/>
                <w:kern w:val="24"/>
                <w:sz w:val="20"/>
                <w:szCs w:val="20"/>
              </w:rPr>
              <w:t>Peer Group Rankings</w:t>
            </w:r>
          </w:p>
          <w:p w:rsidR="00155C90" w:rsidRPr="00B52BD0" w:rsidRDefault="00155C90" w:rsidP="00E1721C">
            <w:pPr>
              <w:rPr>
                <w:rFonts w:ascii="Arial" w:hAnsi="Arial" w:cs="Arial"/>
                <w:b/>
                <w:color w:val="FFFFFF"/>
                <w:sz w:val="20"/>
                <w:szCs w:val="20"/>
              </w:rPr>
            </w:pPr>
            <w:r w:rsidRPr="00B52BD0">
              <w:rPr>
                <w:rFonts w:ascii="Arial" w:hAnsi="Arial" w:cs="Arial"/>
                <w:b/>
                <w:color w:val="FFFFFF"/>
                <w:kern w:val="24"/>
                <w:sz w:val="20"/>
                <w:szCs w:val="20"/>
              </w:rPr>
              <w:t>20%</w:t>
            </w:r>
          </w:p>
        </w:tc>
        <w:tc>
          <w:tcPr>
            <w:tcW w:w="3934" w:type="pct"/>
            <w:shd w:val="clear" w:color="auto" w:fill="FFFFFF" w:themeFill="background1"/>
            <w:tcMar>
              <w:top w:w="72" w:type="dxa"/>
              <w:left w:w="72" w:type="dxa"/>
              <w:bottom w:w="72" w:type="dxa"/>
              <w:right w:w="72" w:type="dxa"/>
            </w:tcMar>
            <w:vAlign w:val="center"/>
            <w:hideMark/>
          </w:tcPr>
          <w:p w:rsidR="00155C90" w:rsidRPr="00B52BD0" w:rsidRDefault="00155C90" w:rsidP="00E1721C">
            <w:pPr>
              <w:pStyle w:val="NormalWeb"/>
              <w:spacing w:before="0" w:beforeAutospacing="0" w:after="60" w:afterAutospacing="0"/>
              <w:textAlignment w:val="baseline"/>
              <w:rPr>
                <w:rFonts w:ascii="Arial" w:hAnsi="Arial" w:cs="Arial"/>
                <w:color w:val="000000"/>
                <w:kern w:val="24"/>
                <w:sz w:val="20"/>
                <w:szCs w:val="20"/>
              </w:rPr>
            </w:pPr>
            <w:r w:rsidRPr="00B52BD0">
              <w:rPr>
                <w:rFonts w:ascii="Arial" w:hAnsi="Arial" w:cs="Arial"/>
                <w:b/>
                <w:bCs/>
                <w:color w:val="000000"/>
                <w:kern w:val="24"/>
                <w:sz w:val="20"/>
                <w:szCs w:val="20"/>
              </w:rPr>
              <w:t>Returns Peer Group Ranking:</w:t>
            </w:r>
            <w:r w:rsidRPr="00B52BD0">
              <w:rPr>
                <w:rFonts w:ascii="Arial" w:hAnsi="Arial" w:cs="Arial"/>
                <w:color w:val="000000"/>
                <w:kern w:val="24"/>
                <w:sz w:val="20"/>
                <w:szCs w:val="20"/>
              </w:rPr>
              <w:t xml:space="preserve"> Fund passes if its median rank is above the 50</w:t>
            </w:r>
            <w:r w:rsidRPr="00B52BD0">
              <w:rPr>
                <w:rFonts w:ascii="Arial" w:hAnsi="Arial" w:cs="Arial"/>
                <w:color w:val="000000"/>
                <w:kern w:val="24"/>
                <w:sz w:val="20"/>
                <w:szCs w:val="20"/>
                <w:vertAlign w:val="superscript"/>
              </w:rPr>
              <w:t>th</w:t>
            </w:r>
            <w:r w:rsidRPr="00B52BD0">
              <w:rPr>
                <w:rFonts w:ascii="Arial" w:hAnsi="Arial" w:cs="Arial"/>
                <w:color w:val="000000"/>
                <w:kern w:val="24"/>
                <w:sz w:val="20"/>
                <w:szCs w:val="20"/>
              </w:rPr>
              <w:t xml:space="preserve"> percentile.</w:t>
            </w:r>
          </w:p>
        </w:tc>
        <w:tc>
          <w:tcPr>
            <w:tcW w:w="487" w:type="pct"/>
            <w:shd w:val="clear" w:color="auto" w:fill="9CC2E5" w:themeFill="accent1" w:themeFillTint="99"/>
            <w:tcMar>
              <w:top w:w="72" w:type="dxa"/>
              <w:left w:w="72" w:type="dxa"/>
              <w:bottom w:w="72" w:type="dxa"/>
              <w:right w:w="72" w:type="dxa"/>
            </w:tcMar>
            <w:vAlign w:val="center"/>
            <w:hideMark/>
          </w:tcPr>
          <w:p w:rsidR="00155C90" w:rsidRPr="00B52BD0" w:rsidRDefault="00155C90" w:rsidP="00E1721C">
            <w:pPr>
              <w:jc w:val="center"/>
              <w:rPr>
                <w:rFonts w:ascii="Arial" w:hAnsi="Arial" w:cs="Arial"/>
                <w:b/>
                <w:color w:val="FFFFFF"/>
                <w:sz w:val="20"/>
                <w:szCs w:val="20"/>
              </w:rPr>
            </w:pPr>
            <w:r w:rsidRPr="00B52BD0">
              <w:rPr>
                <w:rFonts w:ascii="Arial" w:hAnsi="Arial" w:cs="Arial"/>
                <w:b/>
                <w:color w:val="FFFFFF"/>
                <w:sz w:val="20"/>
                <w:szCs w:val="20"/>
              </w:rPr>
              <w:t>1</w:t>
            </w:r>
          </w:p>
        </w:tc>
      </w:tr>
      <w:tr w:rsidR="00155C90" w:rsidRPr="00B52BD0" w:rsidTr="00E1721C">
        <w:trPr>
          <w:trHeight w:val="360"/>
          <w:jc w:val="center"/>
        </w:trPr>
        <w:tc>
          <w:tcPr>
            <w:tcW w:w="580" w:type="pct"/>
            <w:vMerge/>
            <w:shd w:val="clear" w:color="auto" w:fill="9CC2E5" w:themeFill="accent1" w:themeFillTint="99"/>
            <w:vAlign w:val="center"/>
            <w:hideMark/>
          </w:tcPr>
          <w:p w:rsidR="00155C90" w:rsidRPr="00B52BD0" w:rsidRDefault="00155C90" w:rsidP="00E1721C">
            <w:pPr>
              <w:rPr>
                <w:rFonts w:ascii="Arial" w:hAnsi="Arial" w:cs="Arial"/>
                <w:b/>
                <w:color w:val="FFFFFF"/>
                <w:sz w:val="20"/>
                <w:szCs w:val="20"/>
              </w:rPr>
            </w:pPr>
          </w:p>
        </w:tc>
        <w:tc>
          <w:tcPr>
            <w:tcW w:w="3934" w:type="pct"/>
            <w:shd w:val="clear" w:color="auto" w:fill="FFFFFF" w:themeFill="background1"/>
            <w:tcMar>
              <w:top w:w="72" w:type="dxa"/>
              <w:left w:w="72" w:type="dxa"/>
              <w:bottom w:w="72" w:type="dxa"/>
              <w:right w:w="72" w:type="dxa"/>
            </w:tcMar>
            <w:vAlign w:val="center"/>
            <w:hideMark/>
          </w:tcPr>
          <w:p w:rsidR="00155C90" w:rsidRPr="00B52BD0" w:rsidRDefault="00155C90" w:rsidP="00E1721C">
            <w:pPr>
              <w:pStyle w:val="NormalWeb"/>
              <w:spacing w:before="0" w:beforeAutospacing="0" w:after="0" w:afterAutospacing="0"/>
              <w:textAlignment w:val="baseline"/>
              <w:rPr>
                <w:rFonts w:ascii="Arial" w:hAnsi="Arial" w:cs="Arial"/>
                <w:sz w:val="20"/>
                <w:szCs w:val="20"/>
              </w:rPr>
            </w:pPr>
            <w:r w:rsidRPr="00B52BD0">
              <w:rPr>
                <w:rFonts w:ascii="Arial" w:hAnsi="Arial" w:cs="Arial"/>
                <w:b/>
                <w:bCs/>
                <w:color w:val="000000"/>
                <w:kern w:val="24"/>
                <w:sz w:val="20"/>
                <w:szCs w:val="20"/>
              </w:rPr>
              <w:t>Sharpe Ratio Peer Group Ranking:</w:t>
            </w:r>
            <w:r w:rsidRPr="00B52BD0">
              <w:rPr>
                <w:rFonts w:ascii="Arial" w:hAnsi="Arial" w:cs="Arial"/>
                <w:color w:val="000000"/>
                <w:kern w:val="24"/>
                <w:sz w:val="20"/>
                <w:szCs w:val="20"/>
              </w:rPr>
              <w:t xml:space="preserve"> Fund passes if its median rank is above the 50</w:t>
            </w:r>
            <w:r w:rsidRPr="00B52BD0">
              <w:rPr>
                <w:rFonts w:ascii="Arial" w:hAnsi="Arial" w:cs="Arial"/>
                <w:color w:val="000000"/>
                <w:kern w:val="24"/>
                <w:sz w:val="20"/>
                <w:szCs w:val="20"/>
                <w:vertAlign w:val="superscript"/>
              </w:rPr>
              <w:t>th</w:t>
            </w:r>
            <w:r w:rsidRPr="00B52BD0">
              <w:rPr>
                <w:rFonts w:ascii="Arial" w:hAnsi="Arial" w:cs="Arial"/>
                <w:color w:val="000000"/>
                <w:kern w:val="24"/>
                <w:sz w:val="20"/>
                <w:szCs w:val="20"/>
              </w:rPr>
              <w:t xml:space="preserve"> perc</w:t>
            </w:r>
            <w:r>
              <w:rPr>
                <w:rFonts w:ascii="Arial" w:hAnsi="Arial" w:cs="Arial"/>
                <w:color w:val="000000"/>
                <w:kern w:val="24"/>
                <w:sz w:val="20"/>
                <w:szCs w:val="20"/>
              </w:rPr>
              <w:t>entile. This ranking ranks risk-</w:t>
            </w:r>
            <w:r w:rsidRPr="00B52BD0">
              <w:rPr>
                <w:rFonts w:ascii="Arial" w:hAnsi="Arial" w:cs="Arial"/>
                <w:color w:val="000000"/>
                <w:kern w:val="24"/>
                <w:sz w:val="20"/>
                <w:szCs w:val="20"/>
              </w:rPr>
              <w:t>adjusted excess return.</w:t>
            </w:r>
          </w:p>
        </w:tc>
        <w:tc>
          <w:tcPr>
            <w:tcW w:w="487" w:type="pct"/>
            <w:shd w:val="clear" w:color="auto" w:fill="9CC2E5" w:themeFill="accent1" w:themeFillTint="99"/>
            <w:vAlign w:val="center"/>
            <w:hideMark/>
          </w:tcPr>
          <w:p w:rsidR="00155C90" w:rsidRPr="00B52BD0" w:rsidRDefault="00155C90" w:rsidP="00E1721C">
            <w:pPr>
              <w:jc w:val="center"/>
              <w:rPr>
                <w:rFonts w:ascii="Arial" w:hAnsi="Arial" w:cs="Arial"/>
                <w:b/>
                <w:color w:val="FFFFFF"/>
                <w:sz w:val="20"/>
                <w:szCs w:val="20"/>
              </w:rPr>
            </w:pPr>
            <w:r w:rsidRPr="00B52BD0">
              <w:rPr>
                <w:rFonts w:ascii="Arial" w:hAnsi="Arial" w:cs="Arial"/>
                <w:b/>
                <w:color w:val="FFFFFF"/>
                <w:sz w:val="20"/>
                <w:szCs w:val="20"/>
              </w:rPr>
              <w:t>1</w:t>
            </w:r>
          </w:p>
          <w:p w:rsidR="00155C90" w:rsidRPr="00B52BD0" w:rsidRDefault="00155C90" w:rsidP="00E1721C">
            <w:pPr>
              <w:jc w:val="center"/>
              <w:rPr>
                <w:rFonts w:ascii="Arial" w:hAnsi="Arial" w:cs="Arial"/>
                <w:b/>
                <w:color w:val="FFFFFF"/>
                <w:sz w:val="20"/>
                <w:szCs w:val="20"/>
              </w:rPr>
            </w:pPr>
          </w:p>
        </w:tc>
      </w:tr>
      <w:tr w:rsidR="00155C90" w:rsidRPr="00B52BD0" w:rsidTr="00E1721C">
        <w:trPr>
          <w:trHeight w:val="503"/>
          <w:jc w:val="center"/>
        </w:trPr>
        <w:tc>
          <w:tcPr>
            <w:tcW w:w="580" w:type="pct"/>
            <w:shd w:val="clear" w:color="auto" w:fill="BDD6EE" w:themeFill="accent1" w:themeFillTint="66"/>
            <w:tcMar>
              <w:top w:w="72" w:type="dxa"/>
              <w:left w:w="72" w:type="dxa"/>
              <w:bottom w:w="72" w:type="dxa"/>
              <w:right w:w="72" w:type="dxa"/>
            </w:tcMar>
            <w:vAlign w:val="center"/>
            <w:hideMark/>
          </w:tcPr>
          <w:p w:rsidR="00155C90" w:rsidRPr="00B52BD0" w:rsidRDefault="00155C90" w:rsidP="00E1721C">
            <w:pPr>
              <w:rPr>
                <w:rFonts w:ascii="Arial" w:hAnsi="Arial" w:cs="Arial"/>
                <w:b/>
                <w:color w:val="FFFFFF"/>
                <w:sz w:val="20"/>
                <w:szCs w:val="20"/>
              </w:rPr>
            </w:pPr>
            <w:r w:rsidRPr="00B52BD0">
              <w:rPr>
                <w:rFonts w:ascii="Arial" w:hAnsi="Arial" w:cs="Arial"/>
                <w:b/>
                <w:color w:val="FFFFFF"/>
                <w:kern w:val="24"/>
                <w:sz w:val="20"/>
                <w:szCs w:val="20"/>
              </w:rPr>
              <w:t>Qualitative Factors</w:t>
            </w:r>
          </w:p>
          <w:p w:rsidR="00155C90" w:rsidRPr="00B52BD0" w:rsidRDefault="00155C90" w:rsidP="00E1721C">
            <w:pPr>
              <w:rPr>
                <w:rFonts w:ascii="Arial" w:hAnsi="Arial" w:cs="Arial"/>
                <w:b/>
                <w:color w:val="FFFFFF"/>
                <w:sz w:val="20"/>
                <w:szCs w:val="20"/>
              </w:rPr>
            </w:pPr>
            <w:r w:rsidRPr="00B52BD0">
              <w:rPr>
                <w:rFonts w:ascii="Arial" w:hAnsi="Arial" w:cs="Arial"/>
                <w:b/>
                <w:color w:val="FFFFFF"/>
                <w:kern w:val="24"/>
                <w:sz w:val="20"/>
                <w:szCs w:val="20"/>
              </w:rPr>
              <w:t>20%</w:t>
            </w:r>
          </w:p>
        </w:tc>
        <w:tc>
          <w:tcPr>
            <w:tcW w:w="3934" w:type="pct"/>
            <w:shd w:val="clear" w:color="auto" w:fill="FFFFFF" w:themeFill="background1"/>
            <w:tcMar>
              <w:top w:w="72" w:type="dxa"/>
              <w:left w:w="72" w:type="dxa"/>
              <w:bottom w:w="72" w:type="dxa"/>
              <w:right w:w="72" w:type="dxa"/>
            </w:tcMar>
            <w:vAlign w:val="center"/>
            <w:hideMark/>
          </w:tcPr>
          <w:p w:rsidR="00155C90" w:rsidRPr="00B52BD0" w:rsidRDefault="00155C90" w:rsidP="00E1721C">
            <w:pPr>
              <w:rPr>
                <w:rFonts w:ascii="Arial" w:hAnsi="Arial" w:cs="Arial"/>
                <w:color w:val="000000"/>
                <w:kern w:val="24"/>
                <w:sz w:val="20"/>
                <w:szCs w:val="20"/>
              </w:rPr>
            </w:pPr>
            <w:r w:rsidRPr="00B52BD0">
              <w:rPr>
                <w:rFonts w:ascii="Arial" w:hAnsi="Arial" w:cs="Arial"/>
                <w:color w:val="000000"/>
                <w:kern w:val="24"/>
                <w:sz w:val="20"/>
                <w:szCs w:val="20"/>
              </w:rPr>
              <w:t>Two points may be awarded based on qualitative characteristics of the fund. Primary considerations are given to manager tenure, fund expenses and strength of statistics, however, other significant factors may be considered. It is imp</w:t>
            </w:r>
            <w:r w:rsidR="00157BA0">
              <w:rPr>
                <w:rFonts w:ascii="Arial" w:hAnsi="Arial" w:cs="Arial"/>
                <w:color w:val="000000"/>
                <w:kern w:val="24"/>
                <w:sz w:val="20"/>
                <w:szCs w:val="20"/>
              </w:rPr>
              <w:t>ortant to take into account non</w:t>
            </w:r>
            <w:r w:rsidRPr="00B52BD0">
              <w:rPr>
                <w:rFonts w:ascii="Arial" w:hAnsi="Arial" w:cs="Arial"/>
                <w:color w:val="000000"/>
                <w:kern w:val="24"/>
                <w:sz w:val="20"/>
                <w:szCs w:val="20"/>
              </w:rPr>
              <w:t>quantitative factors, which may impact future performance.</w:t>
            </w:r>
          </w:p>
        </w:tc>
        <w:tc>
          <w:tcPr>
            <w:tcW w:w="487" w:type="pct"/>
            <w:shd w:val="clear" w:color="auto" w:fill="BDD6EE" w:themeFill="accent1" w:themeFillTint="66"/>
            <w:tcMar>
              <w:top w:w="72" w:type="dxa"/>
              <w:left w:w="72" w:type="dxa"/>
              <w:bottom w:w="72" w:type="dxa"/>
              <w:right w:w="72" w:type="dxa"/>
            </w:tcMar>
            <w:vAlign w:val="center"/>
            <w:hideMark/>
          </w:tcPr>
          <w:p w:rsidR="00155C90" w:rsidRPr="00B52BD0" w:rsidRDefault="00155C90" w:rsidP="00E1721C">
            <w:pPr>
              <w:jc w:val="center"/>
              <w:rPr>
                <w:rFonts w:ascii="Arial" w:hAnsi="Arial" w:cs="Arial"/>
                <w:b/>
                <w:color w:val="FFFFFF"/>
                <w:kern w:val="24"/>
                <w:sz w:val="20"/>
                <w:szCs w:val="20"/>
              </w:rPr>
            </w:pPr>
            <w:r w:rsidRPr="00B52BD0">
              <w:rPr>
                <w:rFonts w:ascii="Arial" w:hAnsi="Arial" w:cs="Arial"/>
                <w:b/>
                <w:color w:val="FFFFFF"/>
                <w:kern w:val="24"/>
                <w:sz w:val="20"/>
                <w:szCs w:val="20"/>
              </w:rPr>
              <w:t>2</w:t>
            </w:r>
          </w:p>
        </w:tc>
      </w:tr>
      <w:tr w:rsidR="00155C90" w:rsidRPr="00B52BD0" w:rsidTr="00E1721C">
        <w:trPr>
          <w:trHeight w:val="20"/>
          <w:jc w:val="center"/>
        </w:trPr>
        <w:tc>
          <w:tcPr>
            <w:tcW w:w="580" w:type="pct"/>
            <w:shd w:val="clear" w:color="auto" w:fill="7F7F7F" w:themeFill="text1" w:themeFillTint="80"/>
            <w:tcMar>
              <w:top w:w="72" w:type="dxa"/>
              <w:left w:w="72" w:type="dxa"/>
              <w:bottom w:w="72" w:type="dxa"/>
              <w:right w:w="72" w:type="dxa"/>
            </w:tcMar>
            <w:vAlign w:val="center"/>
            <w:hideMark/>
          </w:tcPr>
          <w:p w:rsidR="00155C90" w:rsidRPr="00B52BD0" w:rsidRDefault="00155C90" w:rsidP="00E1721C">
            <w:pPr>
              <w:rPr>
                <w:rFonts w:ascii="Arial" w:hAnsi="Arial" w:cs="Arial"/>
                <w:color w:val="FFFFFF" w:themeColor="background1"/>
                <w:sz w:val="20"/>
                <w:szCs w:val="20"/>
              </w:rPr>
            </w:pPr>
          </w:p>
        </w:tc>
        <w:tc>
          <w:tcPr>
            <w:tcW w:w="3934" w:type="pct"/>
            <w:shd w:val="clear" w:color="auto" w:fill="7F7F7F" w:themeFill="text1" w:themeFillTint="80"/>
            <w:tcMar>
              <w:top w:w="72" w:type="dxa"/>
              <w:left w:w="72" w:type="dxa"/>
              <w:bottom w:w="72" w:type="dxa"/>
              <w:right w:w="72" w:type="dxa"/>
            </w:tcMar>
            <w:vAlign w:val="center"/>
            <w:hideMark/>
          </w:tcPr>
          <w:p w:rsidR="00155C90" w:rsidRPr="00B52BD0" w:rsidRDefault="00155C90" w:rsidP="00E1721C">
            <w:pPr>
              <w:jc w:val="right"/>
              <w:rPr>
                <w:rFonts w:ascii="Arial" w:hAnsi="Arial" w:cs="Arial"/>
                <w:color w:val="FFFFFF" w:themeColor="background1"/>
                <w:sz w:val="20"/>
                <w:szCs w:val="20"/>
              </w:rPr>
            </w:pPr>
            <w:r w:rsidRPr="00B52BD0">
              <w:rPr>
                <w:rFonts w:ascii="Arial" w:hAnsi="Arial" w:cs="Arial"/>
                <w:b/>
                <w:bCs/>
                <w:color w:val="FFFFFF" w:themeColor="background1"/>
                <w:kern w:val="24"/>
                <w:sz w:val="20"/>
                <w:szCs w:val="20"/>
              </w:rPr>
              <w:t>Total</w:t>
            </w:r>
          </w:p>
        </w:tc>
        <w:tc>
          <w:tcPr>
            <w:tcW w:w="487" w:type="pct"/>
            <w:shd w:val="clear" w:color="auto" w:fill="7F7F7F" w:themeFill="text1" w:themeFillTint="80"/>
            <w:tcMar>
              <w:top w:w="72" w:type="dxa"/>
              <w:left w:w="72" w:type="dxa"/>
              <w:bottom w:w="72" w:type="dxa"/>
              <w:right w:w="72" w:type="dxa"/>
            </w:tcMar>
            <w:vAlign w:val="center"/>
            <w:hideMark/>
          </w:tcPr>
          <w:p w:rsidR="00155C90" w:rsidRPr="00B52BD0" w:rsidRDefault="00155C90" w:rsidP="00E1721C">
            <w:pPr>
              <w:jc w:val="center"/>
              <w:rPr>
                <w:rFonts w:ascii="Arial" w:hAnsi="Arial" w:cs="Arial"/>
                <w:color w:val="FFFFFF" w:themeColor="background1"/>
                <w:sz w:val="20"/>
                <w:szCs w:val="20"/>
              </w:rPr>
            </w:pPr>
            <w:r w:rsidRPr="00B52BD0">
              <w:rPr>
                <w:rFonts w:ascii="Arial" w:hAnsi="Arial" w:cs="Arial"/>
                <w:b/>
                <w:bCs/>
                <w:color w:val="FFFFFF" w:themeColor="background1"/>
                <w:kern w:val="24"/>
                <w:sz w:val="20"/>
                <w:szCs w:val="20"/>
              </w:rPr>
              <w:t>10</w:t>
            </w:r>
          </w:p>
        </w:tc>
      </w:tr>
    </w:tbl>
    <w:p w:rsidR="00155C90" w:rsidRDefault="00155C90" w:rsidP="00155C90">
      <w:pPr>
        <w:outlineLvl w:val="0"/>
        <w:rPr>
          <w:rFonts w:ascii="Arial" w:hAnsi="Arial" w:cs="Arial"/>
          <w:b/>
          <w:sz w:val="36"/>
          <w:szCs w:val="32"/>
        </w:rPr>
      </w:pPr>
    </w:p>
    <w:p w:rsidR="00155C90" w:rsidRDefault="00155C90" w:rsidP="00155C90">
      <w:pPr>
        <w:outlineLvl w:val="0"/>
        <w:rPr>
          <w:rFonts w:ascii="Arial" w:hAnsi="Arial" w:cs="Arial"/>
          <w:b/>
          <w:sz w:val="36"/>
          <w:szCs w:val="32"/>
        </w:rPr>
      </w:pPr>
    </w:p>
    <w:p w:rsidR="00155C90" w:rsidRDefault="00155C90" w:rsidP="00155C90">
      <w:pPr>
        <w:outlineLvl w:val="0"/>
        <w:rPr>
          <w:rFonts w:ascii="Arial" w:hAnsi="Arial" w:cs="Arial"/>
          <w:b/>
          <w:sz w:val="36"/>
          <w:szCs w:val="32"/>
        </w:rPr>
      </w:pPr>
      <w:r w:rsidRPr="006A7645">
        <w:rPr>
          <w:rFonts w:ascii="Arial" w:hAnsi="Arial" w:cs="Arial"/>
          <w:b/>
          <w:sz w:val="36"/>
          <w:szCs w:val="32"/>
        </w:rPr>
        <w:t>Scorecard</w:t>
      </w:r>
      <w:r>
        <w:rPr>
          <w:rFonts w:ascii="Arial" w:hAnsi="Arial" w:cs="Arial"/>
          <w:b/>
          <w:sz w:val="36"/>
          <w:szCs w:val="32"/>
        </w:rPr>
        <w:t xml:space="preserve"> System Methodology™</w:t>
      </w:r>
      <w:r>
        <w:rPr>
          <w:rFonts w:ascii="Arial" w:hAnsi="Arial" w:cs="Arial"/>
          <w:b/>
          <w:sz w:val="36"/>
          <w:szCs w:val="32"/>
        </w:rPr>
        <w:tab/>
      </w:r>
      <w:r>
        <w:rPr>
          <w:rFonts w:ascii="Arial" w:hAnsi="Arial" w:cs="Arial"/>
          <w:b/>
          <w:sz w:val="36"/>
          <w:szCs w:val="32"/>
        </w:rPr>
        <w:tab/>
        <w:t xml:space="preserve">  </w:t>
      </w:r>
      <w:r>
        <w:rPr>
          <w:rFonts w:ascii="Arial" w:hAnsi="Arial" w:cs="Arial"/>
          <w:b/>
          <w:sz w:val="36"/>
          <w:szCs w:val="32"/>
        </w:rPr>
        <w:tab/>
        <w:t xml:space="preserve">    </w:t>
      </w:r>
    </w:p>
    <w:p w:rsidR="00155C90" w:rsidRPr="00175991" w:rsidRDefault="00155C90" w:rsidP="00155C90">
      <w:pPr>
        <w:outlineLvl w:val="0"/>
        <w:rPr>
          <w:rFonts w:ascii="Arial" w:hAnsi="Arial" w:cs="Arial"/>
          <w:i/>
          <w:color w:val="8496B0" w:themeColor="text2" w:themeTint="99"/>
          <w:sz w:val="32"/>
          <w:szCs w:val="32"/>
        </w:rPr>
      </w:pPr>
      <w:r w:rsidRPr="00F33818">
        <w:rPr>
          <w:rFonts w:ascii="Arial" w:hAnsi="Arial" w:cs="Arial"/>
          <w:i/>
          <w:color w:val="44546A" w:themeColor="text2"/>
          <w:sz w:val="32"/>
          <w:szCs w:val="32"/>
        </w:rPr>
        <w:lastRenderedPageBreak/>
        <w:t>Active Strategies</w:t>
      </w:r>
    </w:p>
    <w:p w:rsidR="00155C90" w:rsidRPr="00ED2A47" w:rsidRDefault="00155C90" w:rsidP="00155C90">
      <w:pPr>
        <w:outlineLvl w:val="0"/>
        <w:rPr>
          <w:rFonts w:ascii="Arial" w:hAnsi="Arial" w:cs="Arial"/>
          <w:sz w:val="20"/>
          <w:szCs w:val="20"/>
        </w:rPr>
      </w:pPr>
    </w:p>
    <w:p w:rsidR="00155C90" w:rsidRPr="00ED2A47" w:rsidRDefault="00155C90" w:rsidP="00155C90">
      <w:pPr>
        <w:outlineLvl w:val="0"/>
        <w:rPr>
          <w:rFonts w:ascii="Arial" w:hAnsi="Arial" w:cs="Arial"/>
          <w:sz w:val="20"/>
          <w:szCs w:val="20"/>
        </w:rPr>
      </w:pPr>
      <w:r w:rsidRPr="00ED2A47">
        <w:rPr>
          <w:rFonts w:ascii="Arial" w:hAnsi="Arial" w:cs="Arial"/>
          <w:b/>
          <w:bCs/>
          <w:sz w:val="20"/>
          <w:szCs w:val="20"/>
        </w:rPr>
        <w:t>Active strategies</w:t>
      </w:r>
      <w:r w:rsidRPr="00ED2A47">
        <w:rPr>
          <w:rFonts w:ascii="Arial" w:hAnsi="Arial" w:cs="Arial"/>
          <w:sz w:val="20"/>
          <w:szCs w:val="20"/>
        </w:rPr>
        <w:t xml:space="preserve"> are investment strategies where the fund manager</w:t>
      </w:r>
      <w:r>
        <w:rPr>
          <w:rFonts w:ascii="Arial" w:hAnsi="Arial" w:cs="Arial"/>
          <w:sz w:val="20"/>
          <w:szCs w:val="20"/>
        </w:rPr>
        <w:t xml:space="preserve"> is trying to add value and out</w:t>
      </w:r>
      <w:r w:rsidRPr="00ED2A47">
        <w:rPr>
          <w:rFonts w:ascii="Arial" w:hAnsi="Arial" w:cs="Arial"/>
          <w:sz w:val="20"/>
          <w:szCs w:val="20"/>
        </w:rPr>
        <w:t xml:space="preserve">perform the market averages (for that style of investing). Typically, these investment strategies have higher associated </w:t>
      </w:r>
      <w:r>
        <w:rPr>
          <w:rFonts w:ascii="Arial" w:hAnsi="Arial" w:cs="Arial"/>
          <w:sz w:val="20"/>
          <w:szCs w:val="20"/>
        </w:rPr>
        <w:t>fee</w:t>
      </w:r>
      <w:r w:rsidRPr="00ED2A47">
        <w:rPr>
          <w:rFonts w:ascii="Arial" w:hAnsi="Arial" w:cs="Arial"/>
          <w:sz w:val="20"/>
          <w:szCs w:val="20"/>
        </w:rPr>
        <w:t>s due to the active involvement in the portfolio management process by the fund manager(s). For this type of investment strategy, the</w:t>
      </w:r>
      <w:r w:rsidRPr="00ED2A47">
        <w:rPr>
          <w:rFonts w:ascii="Arial" w:hAnsi="Arial" w:cs="Arial"/>
          <w:iCs/>
          <w:sz w:val="20"/>
          <w:szCs w:val="20"/>
        </w:rPr>
        <w:t xml:space="preserve"> </w:t>
      </w:r>
      <w:r w:rsidRPr="00ED2A47">
        <w:rPr>
          <w:rFonts w:ascii="Arial" w:hAnsi="Arial" w:cs="Arial"/>
          <w:b/>
          <w:bCs/>
          <w:sz w:val="20"/>
          <w:szCs w:val="20"/>
        </w:rPr>
        <w:t>Scorecard</w:t>
      </w:r>
      <w:r w:rsidRPr="00ED2A47">
        <w:rPr>
          <w:rFonts w:ascii="Arial" w:hAnsi="Arial" w:cs="Arial"/>
          <w:sz w:val="20"/>
          <w:szCs w:val="20"/>
        </w:rPr>
        <w:t xml:space="preserve"> </w:t>
      </w:r>
      <w:r w:rsidRPr="00ED2A47">
        <w:rPr>
          <w:rFonts w:ascii="Arial" w:hAnsi="Arial" w:cs="Arial"/>
          <w:b/>
          <w:sz w:val="20"/>
          <w:szCs w:val="20"/>
        </w:rPr>
        <w:t>System</w:t>
      </w:r>
      <w:r w:rsidRPr="00ED2A47">
        <w:rPr>
          <w:rFonts w:ascii="Arial" w:hAnsi="Arial" w:cs="Arial"/>
          <w:sz w:val="20"/>
          <w:szCs w:val="20"/>
        </w:rPr>
        <w:t xml:space="preserve"> is trying to identify those managers who can add value on a consistent basis within their own style of investing. </w:t>
      </w:r>
    </w:p>
    <w:p w:rsidR="00155C90" w:rsidRDefault="00155C90" w:rsidP="00155C90">
      <w:pPr>
        <w:outlineLvl w:val="0"/>
        <w:rPr>
          <w:rFonts w:ascii="Arial" w:hAnsi="Arial" w:cs="Arial"/>
        </w:rPr>
      </w:pPr>
    </w:p>
    <w:p w:rsidR="00155C90" w:rsidRDefault="00155C90" w:rsidP="00155C90">
      <w:pPr>
        <w:outlineLvl w:val="0"/>
        <w:rPr>
          <w:rFonts w:ascii="Arial" w:hAnsi="Arial" w:cs="Arial"/>
        </w:rPr>
      </w:pPr>
    </w:p>
    <w:p w:rsidR="00155C90" w:rsidRDefault="00155C90" w:rsidP="00155C90">
      <w:pPr>
        <w:outlineLvl w:val="0"/>
        <w:rPr>
          <w:rFonts w:ascii="Arial" w:hAnsi="Arial" w:cs="Arial"/>
        </w:rPr>
      </w:pPr>
    </w:p>
    <w:tbl>
      <w:tblPr>
        <w:tblW w:w="5000" w:type="pct"/>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0" w:type="dxa"/>
        </w:tblCellMar>
        <w:tblLook w:val="04A0" w:firstRow="1" w:lastRow="0" w:firstColumn="1" w:lastColumn="0" w:noHBand="0" w:noVBand="1"/>
      </w:tblPr>
      <w:tblGrid>
        <w:gridCol w:w="1267"/>
        <w:gridCol w:w="7458"/>
        <w:gridCol w:w="1067"/>
      </w:tblGrid>
      <w:tr w:rsidR="00155C90" w:rsidRPr="00ED2A47" w:rsidTr="00E1721C">
        <w:trPr>
          <w:trHeight w:val="144"/>
          <w:jc w:val="center"/>
        </w:trPr>
        <w:tc>
          <w:tcPr>
            <w:tcW w:w="584" w:type="pct"/>
            <w:shd w:val="clear" w:color="auto" w:fill="7F7F7F" w:themeFill="text1" w:themeFillTint="80"/>
            <w:tcMar>
              <w:top w:w="72" w:type="dxa"/>
              <w:left w:w="72" w:type="dxa"/>
              <w:bottom w:w="72" w:type="dxa"/>
              <w:right w:w="72" w:type="dxa"/>
            </w:tcMar>
            <w:vAlign w:val="center"/>
            <w:hideMark/>
          </w:tcPr>
          <w:p w:rsidR="00155C90" w:rsidRPr="00ED2A47" w:rsidRDefault="00155C90" w:rsidP="00E1721C">
            <w:pPr>
              <w:spacing w:before="66" w:after="66"/>
              <w:jc w:val="center"/>
              <w:rPr>
                <w:rFonts w:ascii="Arial" w:hAnsi="Arial" w:cs="Arial"/>
                <w:color w:val="FFFFFF" w:themeColor="background1"/>
                <w:sz w:val="20"/>
                <w:szCs w:val="20"/>
              </w:rPr>
            </w:pPr>
            <w:r w:rsidRPr="00ED2A47">
              <w:rPr>
                <w:rFonts w:ascii="Arial" w:hAnsi="Arial" w:cs="Arial"/>
                <w:b/>
                <w:color w:val="FFFFFF" w:themeColor="background1"/>
                <w:sz w:val="20"/>
                <w:szCs w:val="20"/>
              </w:rPr>
              <w:t>Weightings</w:t>
            </w:r>
          </w:p>
        </w:tc>
        <w:tc>
          <w:tcPr>
            <w:tcW w:w="3924" w:type="pct"/>
            <w:shd w:val="clear" w:color="auto" w:fill="7F7F7F" w:themeFill="text1" w:themeFillTint="80"/>
            <w:vAlign w:val="center"/>
          </w:tcPr>
          <w:p w:rsidR="00155C90" w:rsidRPr="00ED2A47" w:rsidRDefault="00155C90" w:rsidP="00E1721C">
            <w:pPr>
              <w:spacing w:before="66" w:after="66"/>
              <w:jc w:val="center"/>
              <w:rPr>
                <w:rFonts w:ascii="Arial" w:hAnsi="Arial" w:cs="Arial"/>
                <w:color w:val="FFFFFF" w:themeColor="background1"/>
                <w:sz w:val="20"/>
                <w:szCs w:val="20"/>
              </w:rPr>
            </w:pPr>
            <w:r w:rsidRPr="00ED2A47">
              <w:rPr>
                <w:rFonts w:ascii="Arial" w:hAnsi="Arial" w:cs="Arial"/>
                <w:b/>
                <w:bCs/>
                <w:color w:val="FFFFFF" w:themeColor="background1"/>
                <w:kern w:val="24"/>
                <w:sz w:val="20"/>
                <w:szCs w:val="20"/>
              </w:rPr>
              <w:t>Active Strategies</w:t>
            </w:r>
          </w:p>
        </w:tc>
        <w:tc>
          <w:tcPr>
            <w:tcW w:w="492" w:type="pct"/>
            <w:shd w:val="clear" w:color="auto" w:fill="7F7F7F" w:themeFill="text1" w:themeFillTint="80"/>
            <w:tcMar>
              <w:top w:w="72" w:type="dxa"/>
              <w:left w:w="72" w:type="dxa"/>
              <w:bottom w:w="72" w:type="dxa"/>
              <w:right w:w="72" w:type="dxa"/>
            </w:tcMar>
            <w:hideMark/>
          </w:tcPr>
          <w:p w:rsidR="00155C90" w:rsidRPr="00ED2A47" w:rsidRDefault="00155C90" w:rsidP="00E1721C">
            <w:pPr>
              <w:jc w:val="center"/>
              <w:rPr>
                <w:rFonts w:ascii="Arial" w:hAnsi="Arial" w:cs="Arial"/>
                <w:color w:val="FFFFFF" w:themeColor="background1"/>
                <w:sz w:val="20"/>
                <w:szCs w:val="20"/>
              </w:rPr>
            </w:pPr>
            <w:r w:rsidRPr="00ED2A47">
              <w:rPr>
                <w:rFonts w:ascii="Arial" w:hAnsi="Arial" w:cs="Arial"/>
                <w:b/>
                <w:bCs/>
                <w:color w:val="FFFFFF" w:themeColor="background1"/>
                <w:kern w:val="24"/>
                <w:sz w:val="20"/>
                <w:szCs w:val="20"/>
              </w:rPr>
              <w:t xml:space="preserve">Maximum Points </w:t>
            </w:r>
          </w:p>
        </w:tc>
      </w:tr>
      <w:tr w:rsidR="00155C90" w:rsidRPr="00ED2A47" w:rsidTr="00E1721C">
        <w:trPr>
          <w:trHeight w:val="576"/>
          <w:jc w:val="center"/>
        </w:trPr>
        <w:tc>
          <w:tcPr>
            <w:tcW w:w="580" w:type="pct"/>
            <w:vMerge w:val="restart"/>
            <w:shd w:val="clear" w:color="auto" w:fill="1F3864" w:themeFill="accent5" w:themeFillShade="80"/>
            <w:tcMar>
              <w:top w:w="72" w:type="dxa"/>
              <w:left w:w="72" w:type="dxa"/>
              <w:bottom w:w="72" w:type="dxa"/>
              <w:right w:w="72" w:type="dxa"/>
            </w:tcMar>
            <w:vAlign w:val="center"/>
            <w:hideMark/>
          </w:tcPr>
          <w:p w:rsidR="00155C90" w:rsidRPr="00ED2A47" w:rsidRDefault="00155C90" w:rsidP="00E1721C">
            <w:pPr>
              <w:rPr>
                <w:rFonts w:ascii="Arial" w:hAnsi="Arial" w:cs="Arial"/>
                <w:b/>
                <w:color w:val="FFFFFF"/>
                <w:sz w:val="20"/>
                <w:szCs w:val="20"/>
              </w:rPr>
            </w:pPr>
            <w:r w:rsidRPr="00ED2A47">
              <w:rPr>
                <w:rFonts w:ascii="Arial" w:hAnsi="Arial" w:cs="Arial"/>
                <w:b/>
                <w:color w:val="FFFFFF"/>
                <w:kern w:val="24"/>
                <w:sz w:val="20"/>
                <w:szCs w:val="20"/>
              </w:rPr>
              <w:t>Style Factors 30%</w:t>
            </w:r>
          </w:p>
        </w:tc>
        <w:tc>
          <w:tcPr>
            <w:tcW w:w="3929" w:type="pct"/>
            <w:shd w:val="clear" w:color="auto" w:fill="auto"/>
            <w:tcMar>
              <w:top w:w="72" w:type="dxa"/>
              <w:left w:w="72" w:type="dxa"/>
              <w:bottom w:w="72" w:type="dxa"/>
              <w:right w:w="72" w:type="dxa"/>
            </w:tcMar>
            <w:vAlign w:val="center"/>
            <w:hideMark/>
          </w:tcPr>
          <w:p w:rsidR="00155C90" w:rsidRPr="00ED2A47" w:rsidRDefault="00155C90" w:rsidP="00E1721C">
            <w:pPr>
              <w:rPr>
                <w:rFonts w:ascii="Arial" w:hAnsi="Arial" w:cs="Arial"/>
                <w:sz w:val="20"/>
                <w:szCs w:val="20"/>
              </w:rPr>
            </w:pPr>
            <w:r w:rsidRPr="00ED2A47">
              <w:rPr>
                <w:rFonts w:ascii="Arial" w:hAnsi="Arial" w:cs="Arial"/>
                <w:b/>
                <w:bCs/>
                <w:color w:val="000000"/>
                <w:kern w:val="24"/>
                <w:sz w:val="20"/>
                <w:szCs w:val="20"/>
              </w:rPr>
              <w:t>Style Analysis:</w:t>
            </w:r>
            <w:r w:rsidRPr="00ED2A47">
              <w:rPr>
                <w:rFonts w:ascii="Arial" w:hAnsi="Arial" w:cs="Arial"/>
                <w:color w:val="000000"/>
                <w:kern w:val="24"/>
                <w:sz w:val="20"/>
                <w:szCs w:val="20"/>
              </w:rPr>
              <w:t xml:space="preserve"> Returns-based analysis to determine the style characteristics of a fund over a period of time. Fund passes if it reflects the appropriate style characteristics. Style analysis helps ensure proper diversification in the </w:t>
            </w:r>
            <w:r>
              <w:rPr>
                <w:rFonts w:ascii="Arial" w:hAnsi="Arial" w:cs="Arial"/>
                <w:color w:val="000000"/>
                <w:kern w:val="24"/>
                <w:sz w:val="20"/>
                <w:szCs w:val="20"/>
              </w:rPr>
              <w:t>Plan</w:t>
            </w:r>
            <w:r w:rsidRPr="00ED2A47">
              <w:rPr>
                <w:rFonts w:ascii="Arial" w:hAnsi="Arial" w:cs="Arial"/>
                <w:color w:val="000000"/>
                <w:kern w:val="24"/>
                <w:sz w:val="20"/>
                <w:szCs w:val="20"/>
              </w:rPr>
              <w:t>.</w:t>
            </w:r>
          </w:p>
        </w:tc>
        <w:tc>
          <w:tcPr>
            <w:tcW w:w="492" w:type="pct"/>
            <w:shd w:val="clear" w:color="auto" w:fill="1F3864" w:themeFill="accent5" w:themeFillShade="80"/>
            <w:tcMar>
              <w:top w:w="72" w:type="dxa"/>
              <w:left w:w="72" w:type="dxa"/>
              <w:bottom w:w="72" w:type="dxa"/>
              <w:right w:w="72" w:type="dxa"/>
            </w:tcMar>
            <w:vAlign w:val="center"/>
            <w:hideMark/>
          </w:tcPr>
          <w:p w:rsidR="00155C90" w:rsidRPr="00ED2A47" w:rsidRDefault="00155C90" w:rsidP="00E1721C">
            <w:pPr>
              <w:jc w:val="center"/>
              <w:rPr>
                <w:rFonts w:ascii="Arial" w:hAnsi="Arial" w:cs="Arial"/>
                <w:b/>
                <w:color w:val="FFFFFF"/>
                <w:sz w:val="20"/>
                <w:szCs w:val="20"/>
              </w:rPr>
            </w:pPr>
            <w:r w:rsidRPr="00ED2A47">
              <w:rPr>
                <w:rFonts w:ascii="Arial" w:hAnsi="Arial" w:cs="Arial"/>
                <w:b/>
                <w:color w:val="FFFFFF"/>
                <w:sz w:val="20"/>
                <w:szCs w:val="20"/>
              </w:rPr>
              <w:t>1</w:t>
            </w:r>
          </w:p>
          <w:p w:rsidR="00155C90" w:rsidRPr="00ED2A47" w:rsidRDefault="00155C90" w:rsidP="00E1721C">
            <w:pPr>
              <w:jc w:val="center"/>
              <w:rPr>
                <w:rFonts w:ascii="Arial" w:hAnsi="Arial" w:cs="Arial"/>
                <w:b/>
                <w:color w:val="FFFFFF"/>
                <w:sz w:val="20"/>
                <w:szCs w:val="20"/>
              </w:rPr>
            </w:pPr>
          </w:p>
          <w:p w:rsidR="00155C90" w:rsidRPr="00ED2A47" w:rsidRDefault="00155C90" w:rsidP="00E1721C">
            <w:pPr>
              <w:jc w:val="center"/>
              <w:rPr>
                <w:rFonts w:ascii="Arial" w:hAnsi="Arial" w:cs="Arial"/>
                <w:b/>
                <w:color w:val="FFFFFF"/>
                <w:sz w:val="20"/>
                <w:szCs w:val="20"/>
              </w:rPr>
            </w:pPr>
          </w:p>
        </w:tc>
      </w:tr>
      <w:tr w:rsidR="00155C90" w:rsidRPr="00ED2A47" w:rsidTr="00E1721C">
        <w:trPr>
          <w:trHeight w:val="576"/>
          <w:jc w:val="center"/>
        </w:trPr>
        <w:tc>
          <w:tcPr>
            <w:tcW w:w="580" w:type="pct"/>
            <w:vMerge/>
            <w:shd w:val="clear" w:color="auto" w:fill="1F3864" w:themeFill="accent5" w:themeFillShade="80"/>
            <w:vAlign w:val="center"/>
            <w:hideMark/>
          </w:tcPr>
          <w:p w:rsidR="00155C90" w:rsidRPr="00ED2A47" w:rsidRDefault="00155C90" w:rsidP="00E1721C">
            <w:pPr>
              <w:rPr>
                <w:rFonts w:ascii="Arial" w:hAnsi="Arial" w:cs="Arial"/>
                <w:b/>
                <w:color w:val="FFFFFF"/>
                <w:sz w:val="20"/>
                <w:szCs w:val="20"/>
              </w:rPr>
            </w:pPr>
          </w:p>
        </w:tc>
        <w:tc>
          <w:tcPr>
            <w:tcW w:w="3929" w:type="pct"/>
            <w:shd w:val="clear" w:color="auto" w:fill="auto"/>
            <w:tcMar>
              <w:top w:w="72" w:type="dxa"/>
              <w:left w:w="72" w:type="dxa"/>
              <w:bottom w:w="72" w:type="dxa"/>
              <w:right w:w="72" w:type="dxa"/>
            </w:tcMar>
            <w:hideMark/>
          </w:tcPr>
          <w:p w:rsidR="00155C90" w:rsidRPr="00ED2A47" w:rsidRDefault="00155C90" w:rsidP="00E1721C">
            <w:pPr>
              <w:rPr>
                <w:rFonts w:ascii="Arial" w:hAnsi="Arial" w:cs="Arial"/>
                <w:sz w:val="20"/>
                <w:szCs w:val="20"/>
              </w:rPr>
            </w:pPr>
            <w:r w:rsidRPr="00ED2A47">
              <w:rPr>
                <w:rFonts w:ascii="Arial" w:hAnsi="Arial" w:cs="Arial"/>
                <w:b/>
                <w:bCs/>
                <w:color w:val="000000"/>
                <w:kern w:val="24"/>
                <w:sz w:val="20"/>
                <w:szCs w:val="20"/>
              </w:rPr>
              <w:t>Style Drift:</w:t>
            </w:r>
            <w:r w:rsidRPr="00ED2A47">
              <w:rPr>
                <w:rFonts w:ascii="Arial" w:hAnsi="Arial" w:cs="Arial"/>
                <w:color w:val="000000"/>
                <w:kern w:val="24"/>
                <w:sz w:val="20"/>
                <w:szCs w:val="20"/>
              </w:rPr>
              <w:t xml:space="preserve"> Returns-based analysis to determine the behavior of the fund/manager over multiple (rolling) time periods. Fund passes if the fund exhibits a consistent style pattern. Style consistency is desired so that funds can be effectively monitored within their designated asset class.</w:t>
            </w:r>
          </w:p>
        </w:tc>
        <w:tc>
          <w:tcPr>
            <w:tcW w:w="492" w:type="pct"/>
            <w:shd w:val="clear" w:color="auto" w:fill="1F3864" w:themeFill="accent5" w:themeFillShade="80"/>
            <w:vAlign w:val="center"/>
            <w:hideMark/>
          </w:tcPr>
          <w:p w:rsidR="00155C90" w:rsidRPr="00ED2A47" w:rsidRDefault="00155C90" w:rsidP="00E1721C">
            <w:pPr>
              <w:jc w:val="center"/>
              <w:rPr>
                <w:rFonts w:ascii="Arial" w:hAnsi="Arial" w:cs="Arial"/>
                <w:b/>
                <w:color w:val="FFFFFF"/>
                <w:sz w:val="20"/>
                <w:szCs w:val="20"/>
              </w:rPr>
            </w:pPr>
            <w:r w:rsidRPr="00ED2A47">
              <w:rPr>
                <w:rFonts w:ascii="Arial" w:hAnsi="Arial" w:cs="Arial"/>
                <w:b/>
                <w:color w:val="FFFFFF"/>
                <w:sz w:val="20"/>
                <w:szCs w:val="20"/>
              </w:rPr>
              <w:t>1</w:t>
            </w:r>
          </w:p>
          <w:p w:rsidR="00155C90" w:rsidRPr="00ED2A47" w:rsidRDefault="00155C90" w:rsidP="00E1721C">
            <w:pPr>
              <w:jc w:val="center"/>
              <w:rPr>
                <w:rFonts w:ascii="Arial" w:hAnsi="Arial" w:cs="Arial"/>
                <w:b/>
                <w:color w:val="FFFFFF"/>
                <w:sz w:val="20"/>
                <w:szCs w:val="20"/>
              </w:rPr>
            </w:pPr>
          </w:p>
          <w:p w:rsidR="00155C90" w:rsidRPr="00ED2A47" w:rsidRDefault="00155C90" w:rsidP="00E1721C">
            <w:pPr>
              <w:jc w:val="center"/>
              <w:rPr>
                <w:rFonts w:ascii="Arial" w:hAnsi="Arial" w:cs="Arial"/>
                <w:b/>
                <w:color w:val="FFFFFF"/>
                <w:sz w:val="20"/>
                <w:szCs w:val="20"/>
              </w:rPr>
            </w:pPr>
          </w:p>
        </w:tc>
      </w:tr>
      <w:tr w:rsidR="00155C90" w:rsidRPr="00ED2A47" w:rsidTr="00E1721C">
        <w:trPr>
          <w:trHeight w:val="432"/>
          <w:jc w:val="center"/>
        </w:trPr>
        <w:tc>
          <w:tcPr>
            <w:tcW w:w="580" w:type="pct"/>
            <w:vMerge/>
            <w:shd w:val="clear" w:color="auto" w:fill="1F3864" w:themeFill="accent5" w:themeFillShade="80"/>
            <w:vAlign w:val="center"/>
            <w:hideMark/>
          </w:tcPr>
          <w:p w:rsidR="00155C90" w:rsidRPr="00ED2A47" w:rsidRDefault="00155C90" w:rsidP="00E1721C">
            <w:pPr>
              <w:rPr>
                <w:rFonts w:ascii="Arial" w:hAnsi="Arial" w:cs="Arial"/>
                <w:b/>
                <w:color w:val="FFFFFF"/>
                <w:sz w:val="20"/>
                <w:szCs w:val="20"/>
              </w:rPr>
            </w:pPr>
          </w:p>
        </w:tc>
        <w:tc>
          <w:tcPr>
            <w:tcW w:w="3929" w:type="pct"/>
            <w:shd w:val="clear" w:color="auto" w:fill="auto"/>
            <w:tcMar>
              <w:top w:w="72" w:type="dxa"/>
              <w:left w:w="72" w:type="dxa"/>
              <w:bottom w:w="72" w:type="dxa"/>
              <w:right w:w="72" w:type="dxa"/>
            </w:tcMar>
            <w:hideMark/>
          </w:tcPr>
          <w:p w:rsidR="00155C90" w:rsidRPr="00ED2A47" w:rsidRDefault="00155C90" w:rsidP="00E1721C">
            <w:pPr>
              <w:rPr>
                <w:rFonts w:ascii="Arial" w:hAnsi="Arial" w:cs="Arial"/>
                <w:sz w:val="20"/>
                <w:szCs w:val="20"/>
              </w:rPr>
            </w:pPr>
            <w:r w:rsidRPr="00ED2A47">
              <w:rPr>
                <w:rFonts w:ascii="Arial" w:hAnsi="Arial" w:cs="Arial"/>
                <w:b/>
                <w:bCs/>
                <w:color w:val="000000"/>
                <w:kern w:val="24"/>
                <w:sz w:val="20"/>
                <w:szCs w:val="20"/>
              </w:rPr>
              <w:t>R-Squared:</w:t>
            </w:r>
            <w:r w:rsidRPr="00ED2A47">
              <w:rPr>
                <w:rFonts w:ascii="Arial" w:hAnsi="Arial" w:cs="Arial"/>
                <w:color w:val="000000"/>
                <w:kern w:val="24"/>
                <w:sz w:val="20"/>
                <w:szCs w:val="20"/>
              </w:rPr>
              <w:t xml:space="preserve"> Measures the percentage of a fund’s returns that are explained by the benchmark. Fund passes with an R-squared greater than 80</w:t>
            </w:r>
            <w:r>
              <w:rPr>
                <w:rFonts w:ascii="Arial" w:hAnsi="Arial" w:cs="Arial"/>
                <w:color w:val="000000"/>
                <w:kern w:val="24"/>
                <w:sz w:val="20"/>
                <w:szCs w:val="20"/>
              </w:rPr>
              <w:t xml:space="preserve"> percent</w:t>
            </w:r>
            <w:r w:rsidRPr="00ED2A47">
              <w:rPr>
                <w:rFonts w:ascii="Arial" w:hAnsi="Arial" w:cs="Arial"/>
                <w:color w:val="000000"/>
                <w:kern w:val="24"/>
                <w:sz w:val="20"/>
                <w:szCs w:val="20"/>
              </w:rPr>
              <w:t>. This statistic measures whether the benchmark used in the analysis is appropriate.</w:t>
            </w:r>
          </w:p>
        </w:tc>
        <w:tc>
          <w:tcPr>
            <w:tcW w:w="492" w:type="pct"/>
            <w:shd w:val="clear" w:color="auto" w:fill="1F3864" w:themeFill="accent5" w:themeFillShade="80"/>
            <w:vAlign w:val="center"/>
            <w:hideMark/>
          </w:tcPr>
          <w:p w:rsidR="00155C90" w:rsidRPr="00ED2A47" w:rsidRDefault="00155C90" w:rsidP="00E1721C">
            <w:pPr>
              <w:jc w:val="center"/>
              <w:rPr>
                <w:rFonts w:ascii="Arial" w:hAnsi="Arial" w:cs="Arial"/>
                <w:b/>
                <w:color w:val="FFFFFF"/>
                <w:sz w:val="20"/>
                <w:szCs w:val="20"/>
              </w:rPr>
            </w:pPr>
            <w:r w:rsidRPr="00ED2A47">
              <w:rPr>
                <w:rFonts w:ascii="Arial" w:hAnsi="Arial" w:cs="Arial"/>
                <w:b/>
                <w:color w:val="FFFFFF"/>
                <w:sz w:val="20"/>
                <w:szCs w:val="20"/>
              </w:rPr>
              <w:t>1</w:t>
            </w:r>
          </w:p>
          <w:p w:rsidR="00155C90" w:rsidRPr="00ED2A47" w:rsidRDefault="00155C90" w:rsidP="00E1721C">
            <w:pPr>
              <w:jc w:val="center"/>
              <w:rPr>
                <w:rFonts w:ascii="Arial" w:hAnsi="Arial" w:cs="Arial"/>
                <w:b/>
                <w:color w:val="FFFFFF"/>
                <w:sz w:val="20"/>
                <w:szCs w:val="20"/>
              </w:rPr>
            </w:pPr>
          </w:p>
        </w:tc>
      </w:tr>
      <w:tr w:rsidR="00155C90" w:rsidRPr="00ED2A47" w:rsidTr="00E1721C">
        <w:trPr>
          <w:trHeight w:val="431"/>
          <w:jc w:val="center"/>
        </w:trPr>
        <w:tc>
          <w:tcPr>
            <w:tcW w:w="580" w:type="pct"/>
            <w:vMerge w:val="restart"/>
            <w:shd w:val="clear" w:color="auto" w:fill="2F5496" w:themeFill="accent5" w:themeFillShade="BF"/>
            <w:tcMar>
              <w:top w:w="72" w:type="dxa"/>
              <w:left w:w="72" w:type="dxa"/>
              <w:bottom w:w="72" w:type="dxa"/>
              <w:right w:w="72" w:type="dxa"/>
            </w:tcMar>
            <w:vAlign w:val="center"/>
            <w:hideMark/>
          </w:tcPr>
          <w:p w:rsidR="00155C90" w:rsidRPr="00ED2A47" w:rsidRDefault="00155C90" w:rsidP="00E1721C">
            <w:pPr>
              <w:spacing w:before="54" w:after="54"/>
              <w:rPr>
                <w:rFonts w:ascii="Arial" w:hAnsi="Arial" w:cs="Arial"/>
                <w:b/>
                <w:color w:val="FFFFFF"/>
                <w:kern w:val="24"/>
                <w:sz w:val="20"/>
                <w:szCs w:val="20"/>
              </w:rPr>
            </w:pPr>
            <w:r w:rsidRPr="00ED2A47">
              <w:rPr>
                <w:rFonts w:ascii="Arial" w:hAnsi="Arial" w:cs="Arial"/>
                <w:b/>
                <w:color w:val="FFFFFF"/>
                <w:kern w:val="24"/>
                <w:sz w:val="20"/>
                <w:szCs w:val="20"/>
              </w:rPr>
              <w:t xml:space="preserve">Risk/Return Factors </w:t>
            </w:r>
          </w:p>
          <w:p w:rsidR="00155C90" w:rsidRPr="00ED2A47" w:rsidRDefault="00155C90" w:rsidP="00E1721C">
            <w:pPr>
              <w:spacing w:before="54" w:after="54"/>
              <w:rPr>
                <w:rFonts w:ascii="Arial" w:hAnsi="Arial" w:cs="Arial"/>
                <w:b/>
                <w:color w:val="FFFFFF"/>
                <w:sz w:val="20"/>
                <w:szCs w:val="20"/>
              </w:rPr>
            </w:pPr>
            <w:r w:rsidRPr="00ED2A47">
              <w:rPr>
                <w:rFonts w:ascii="Arial" w:hAnsi="Arial" w:cs="Arial"/>
                <w:b/>
                <w:color w:val="FFFFFF"/>
                <w:kern w:val="24"/>
                <w:sz w:val="20"/>
                <w:szCs w:val="20"/>
              </w:rPr>
              <w:t>30%</w:t>
            </w:r>
          </w:p>
        </w:tc>
        <w:tc>
          <w:tcPr>
            <w:tcW w:w="3929" w:type="pct"/>
            <w:shd w:val="clear" w:color="auto" w:fill="auto"/>
            <w:tcMar>
              <w:top w:w="72" w:type="dxa"/>
              <w:left w:w="72" w:type="dxa"/>
              <w:bottom w:w="72" w:type="dxa"/>
              <w:right w:w="72" w:type="dxa"/>
            </w:tcMar>
            <w:vAlign w:val="center"/>
            <w:hideMark/>
          </w:tcPr>
          <w:p w:rsidR="00155C90" w:rsidRPr="00ED2A47" w:rsidRDefault="00155C90" w:rsidP="00E1721C">
            <w:pPr>
              <w:rPr>
                <w:rFonts w:ascii="Arial" w:hAnsi="Arial" w:cs="Arial"/>
                <w:sz w:val="20"/>
                <w:szCs w:val="20"/>
              </w:rPr>
            </w:pPr>
            <w:r w:rsidRPr="00ED2A47">
              <w:rPr>
                <w:rFonts w:ascii="Arial" w:hAnsi="Arial" w:cs="Arial"/>
                <w:b/>
                <w:bCs/>
                <w:color w:val="000000"/>
                <w:kern w:val="24"/>
                <w:sz w:val="20"/>
                <w:szCs w:val="20"/>
              </w:rPr>
              <w:t>Risk/Return:</w:t>
            </w:r>
            <w:r w:rsidRPr="00ED2A47">
              <w:rPr>
                <w:rFonts w:ascii="Arial" w:hAnsi="Arial" w:cs="Arial"/>
                <w:color w:val="000000"/>
                <w:kern w:val="24"/>
                <w:sz w:val="20"/>
                <w:szCs w:val="20"/>
              </w:rPr>
              <w:t xml:space="preserve"> Fund passes if its risk is less than the benchmark or its return is greater than the benchmark. Favorable risk/return characteristics are desired.</w:t>
            </w:r>
            <w:r w:rsidRPr="00ED2A47">
              <w:rPr>
                <w:rFonts w:ascii="Arial" w:hAnsi="Arial" w:cs="Arial"/>
                <w:b/>
                <w:bCs/>
                <w:color w:val="000000"/>
                <w:kern w:val="24"/>
                <w:sz w:val="20"/>
                <w:szCs w:val="20"/>
              </w:rPr>
              <w:t xml:space="preserve"> </w:t>
            </w:r>
          </w:p>
        </w:tc>
        <w:tc>
          <w:tcPr>
            <w:tcW w:w="492" w:type="pct"/>
            <w:shd w:val="clear" w:color="auto" w:fill="2F5496" w:themeFill="accent5" w:themeFillShade="BF"/>
            <w:tcMar>
              <w:top w:w="72" w:type="dxa"/>
              <w:left w:w="72" w:type="dxa"/>
              <w:bottom w:w="72" w:type="dxa"/>
              <w:right w:w="72" w:type="dxa"/>
            </w:tcMar>
            <w:vAlign w:val="center"/>
            <w:hideMark/>
          </w:tcPr>
          <w:p w:rsidR="00155C90" w:rsidRPr="00ED2A47" w:rsidRDefault="00155C90" w:rsidP="00E1721C">
            <w:pPr>
              <w:jc w:val="center"/>
              <w:rPr>
                <w:rFonts w:ascii="Arial" w:hAnsi="Arial" w:cs="Arial"/>
                <w:b/>
                <w:color w:val="FFFFFF"/>
                <w:sz w:val="20"/>
                <w:szCs w:val="20"/>
              </w:rPr>
            </w:pPr>
            <w:r w:rsidRPr="00ED2A47">
              <w:rPr>
                <w:rFonts w:ascii="Arial" w:hAnsi="Arial" w:cs="Arial"/>
                <w:b/>
                <w:color w:val="FFFFFF"/>
                <w:sz w:val="20"/>
                <w:szCs w:val="20"/>
              </w:rPr>
              <w:t>1</w:t>
            </w:r>
          </w:p>
          <w:p w:rsidR="00155C90" w:rsidRPr="00ED2A47" w:rsidRDefault="00155C90" w:rsidP="00E1721C">
            <w:pPr>
              <w:jc w:val="center"/>
              <w:rPr>
                <w:rFonts w:ascii="Arial" w:hAnsi="Arial" w:cs="Arial"/>
                <w:b/>
                <w:color w:val="FFFFFF"/>
                <w:sz w:val="20"/>
                <w:szCs w:val="20"/>
              </w:rPr>
            </w:pPr>
          </w:p>
        </w:tc>
      </w:tr>
      <w:tr w:rsidR="00155C90" w:rsidRPr="00ED2A47" w:rsidTr="00E1721C">
        <w:trPr>
          <w:trHeight w:val="576"/>
          <w:jc w:val="center"/>
        </w:trPr>
        <w:tc>
          <w:tcPr>
            <w:tcW w:w="580" w:type="pct"/>
            <w:vMerge/>
            <w:shd w:val="clear" w:color="auto" w:fill="2F5496" w:themeFill="accent5" w:themeFillShade="BF"/>
            <w:vAlign w:val="center"/>
            <w:hideMark/>
          </w:tcPr>
          <w:p w:rsidR="00155C90" w:rsidRPr="00ED2A47" w:rsidRDefault="00155C90" w:rsidP="00E1721C">
            <w:pPr>
              <w:rPr>
                <w:rFonts w:ascii="Arial" w:hAnsi="Arial" w:cs="Arial"/>
                <w:b/>
                <w:color w:val="FFFFFF"/>
                <w:sz w:val="20"/>
                <w:szCs w:val="20"/>
              </w:rPr>
            </w:pPr>
          </w:p>
        </w:tc>
        <w:tc>
          <w:tcPr>
            <w:tcW w:w="3929" w:type="pct"/>
            <w:shd w:val="clear" w:color="auto" w:fill="auto"/>
            <w:tcMar>
              <w:top w:w="72" w:type="dxa"/>
              <w:left w:w="72" w:type="dxa"/>
              <w:bottom w:w="72" w:type="dxa"/>
              <w:right w:w="72" w:type="dxa"/>
            </w:tcMar>
            <w:vAlign w:val="center"/>
            <w:hideMark/>
          </w:tcPr>
          <w:p w:rsidR="00155C90" w:rsidRPr="00ED2A47" w:rsidRDefault="00155C90" w:rsidP="00E1721C">
            <w:pPr>
              <w:pBdr>
                <w:between w:val="single" w:sz="4" w:space="1" w:color="BFBFBF"/>
              </w:pBdr>
              <w:rPr>
                <w:rFonts w:ascii="Arial" w:hAnsi="Arial" w:cs="Arial"/>
                <w:sz w:val="20"/>
                <w:szCs w:val="20"/>
              </w:rPr>
            </w:pPr>
            <w:r w:rsidRPr="00ED2A47">
              <w:rPr>
                <w:rFonts w:ascii="Arial" w:hAnsi="Arial" w:cs="Arial"/>
                <w:b/>
                <w:bCs/>
                <w:color w:val="000000"/>
                <w:kern w:val="24"/>
                <w:sz w:val="20"/>
                <w:szCs w:val="20"/>
              </w:rPr>
              <w:t>Up/Down Capture Analysis:</w:t>
            </w:r>
            <w:r w:rsidRPr="00ED2A47">
              <w:rPr>
                <w:rFonts w:ascii="Arial" w:hAnsi="Arial" w:cs="Arial"/>
                <w:color w:val="000000"/>
                <w:kern w:val="24"/>
                <w:sz w:val="20"/>
                <w:szCs w:val="20"/>
              </w:rPr>
              <w:t xml:space="preserve"> Measures the behavior of a fund in up and down markets. Fund passes with an up capture greater than its down capture. This analysis measures the relative value by the manager in up and down markets.</w:t>
            </w:r>
          </w:p>
        </w:tc>
        <w:tc>
          <w:tcPr>
            <w:tcW w:w="492" w:type="pct"/>
            <w:shd w:val="clear" w:color="auto" w:fill="2F5496" w:themeFill="accent5" w:themeFillShade="BF"/>
            <w:tcMar>
              <w:top w:w="72" w:type="dxa"/>
              <w:left w:w="72" w:type="dxa"/>
              <w:bottom w:w="72" w:type="dxa"/>
              <w:right w:w="72" w:type="dxa"/>
            </w:tcMar>
            <w:vAlign w:val="center"/>
            <w:hideMark/>
          </w:tcPr>
          <w:p w:rsidR="00155C90" w:rsidRPr="00ED2A47" w:rsidRDefault="00155C90" w:rsidP="00E1721C">
            <w:pPr>
              <w:jc w:val="center"/>
              <w:rPr>
                <w:rFonts w:ascii="Arial" w:hAnsi="Arial" w:cs="Arial"/>
                <w:b/>
                <w:color w:val="FFFFFF"/>
                <w:sz w:val="20"/>
                <w:szCs w:val="20"/>
              </w:rPr>
            </w:pPr>
            <w:r w:rsidRPr="00ED2A47">
              <w:rPr>
                <w:rFonts w:ascii="Arial" w:hAnsi="Arial" w:cs="Arial"/>
                <w:b/>
                <w:color w:val="FFFFFF"/>
                <w:sz w:val="20"/>
                <w:szCs w:val="20"/>
              </w:rPr>
              <w:t>1</w:t>
            </w:r>
          </w:p>
          <w:p w:rsidR="00155C90" w:rsidRPr="00ED2A47" w:rsidRDefault="00155C90" w:rsidP="00E1721C">
            <w:pPr>
              <w:jc w:val="center"/>
              <w:rPr>
                <w:rFonts w:ascii="Arial" w:hAnsi="Arial" w:cs="Arial"/>
                <w:b/>
                <w:color w:val="FFFFFF"/>
                <w:sz w:val="20"/>
                <w:szCs w:val="20"/>
              </w:rPr>
            </w:pPr>
          </w:p>
          <w:p w:rsidR="00155C90" w:rsidRPr="00ED2A47" w:rsidRDefault="00155C90" w:rsidP="00E1721C">
            <w:pPr>
              <w:jc w:val="center"/>
              <w:rPr>
                <w:rFonts w:ascii="Arial" w:hAnsi="Arial" w:cs="Arial"/>
                <w:b/>
                <w:color w:val="FFFFFF"/>
                <w:sz w:val="20"/>
                <w:szCs w:val="20"/>
              </w:rPr>
            </w:pPr>
          </w:p>
        </w:tc>
      </w:tr>
      <w:tr w:rsidR="00155C90" w:rsidRPr="00ED2A47" w:rsidTr="00E1721C">
        <w:trPr>
          <w:trHeight w:val="432"/>
          <w:jc w:val="center"/>
        </w:trPr>
        <w:tc>
          <w:tcPr>
            <w:tcW w:w="580" w:type="pct"/>
            <w:vMerge/>
            <w:shd w:val="clear" w:color="auto" w:fill="2F5496" w:themeFill="accent5" w:themeFillShade="BF"/>
            <w:vAlign w:val="center"/>
            <w:hideMark/>
          </w:tcPr>
          <w:p w:rsidR="00155C90" w:rsidRPr="00ED2A47" w:rsidRDefault="00155C90" w:rsidP="00E1721C">
            <w:pPr>
              <w:rPr>
                <w:rFonts w:ascii="Arial" w:hAnsi="Arial" w:cs="Arial"/>
                <w:b/>
                <w:color w:val="FFFFFF"/>
                <w:sz w:val="20"/>
                <w:szCs w:val="20"/>
              </w:rPr>
            </w:pPr>
          </w:p>
        </w:tc>
        <w:tc>
          <w:tcPr>
            <w:tcW w:w="3929" w:type="pct"/>
            <w:shd w:val="clear" w:color="auto" w:fill="auto"/>
            <w:tcMar>
              <w:top w:w="72" w:type="dxa"/>
              <w:left w:w="72" w:type="dxa"/>
              <w:bottom w:w="72" w:type="dxa"/>
              <w:right w:w="72" w:type="dxa"/>
            </w:tcMar>
            <w:vAlign w:val="center"/>
            <w:hideMark/>
          </w:tcPr>
          <w:p w:rsidR="00155C90" w:rsidRPr="00ED2A47" w:rsidRDefault="00155C90" w:rsidP="00E1721C">
            <w:pPr>
              <w:rPr>
                <w:rFonts w:ascii="Arial" w:hAnsi="Arial" w:cs="Arial"/>
                <w:sz w:val="20"/>
                <w:szCs w:val="20"/>
              </w:rPr>
            </w:pPr>
            <w:r w:rsidRPr="00ED2A47">
              <w:rPr>
                <w:rFonts w:ascii="Arial" w:hAnsi="Arial" w:cs="Arial"/>
                <w:b/>
                <w:bCs/>
                <w:color w:val="000000"/>
                <w:kern w:val="24"/>
                <w:sz w:val="20"/>
                <w:szCs w:val="20"/>
              </w:rPr>
              <w:t>Information Ratio:</w:t>
            </w:r>
            <w:r w:rsidRPr="00ED2A47">
              <w:rPr>
                <w:rFonts w:ascii="Arial" w:hAnsi="Arial" w:cs="Arial"/>
                <w:color w:val="000000"/>
                <w:kern w:val="24"/>
                <w:sz w:val="20"/>
                <w:szCs w:val="20"/>
              </w:rPr>
              <w:t xml:space="preserve"> Measures a fund’s relative risk and return. Fund passes if ratio is greater than 0. This statistic measures the value added above the benchmark, adjusted for risk.</w:t>
            </w:r>
          </w:p>
        </w:tc>
        <w:tc>
          <w:tcPr>
            <w:tcW w:w="492" w:type="pct"/>
            <w:shd w:val="clear" w:color="auto" w:fill="2F5496" w:themeFill="accent5" w:themeFillShade="BF"/>
            <w:vAlign w:val="center"/>
            <w:hideMark/>
          </w:tcPr>
          <w:p w:rsidR="00155C90" w:rsidRPr="00ED2A47" w:rsidRDefault="00155C90" w:rsidP="00E1721C">
            <w:pPr>
              <w:jc w:val="center"/>
              <w:rPr>
                <w:rFonts w:ascii="Arial" w:hAnsi="Arial" w:cs="Arial"/>
                <w:b/>
                <w:color w:val="FFFFFF"/>
                <w:sz w:val="20"/>
                <w:szCs w:val="20"/>
              </w:rPr>
            </w:pPr>
            <w:r w:rsidRPr="00ED2A47">
              <w:rPr>
                <w:rFonts w:ascii="Arial" w:hAnsi="Arial" w:cs="Arial"/>
                <w:b/>
                <w:color w:val="FFFFFF"/>
                <w:sz w:val="20"/>
                <w:szCs w:val="20"/>
              </w:rPr>
              <w:t>1</w:t>
            </w:r>
          </w:p>
          <w:p w:rsidR="00155C90" w:rsidRPr="00ED2A47" w:rsidRDefault="00155C90" w:rsidP="00E1721C">
            <w:pPr>
              <w:jc w:val="center"/>
              <w:rPr>
                <w:rFonts w:ascii="Arial" w:hAnsi="Arial" w:cs="Arial"/>
                <w:b/>
                <w:color w:val="FFFFFF"/>
                <w:sz w:val="20"/>
                <w:szCs w:val="20"/>
              </w:rPr>
            </w:pPr>
          </w:p>
        </w:tc>
      </w:tr>
      <w:tr w:rsidR="00155C90" w:rsidRPr="00ED2A47" w:rsidTr="00E1721C">
        <w:trPr>
          <w:trHeight w:val="288"/>
          <w:jc w:val="center"/>
        </w:trPr>
        <w:tc>
          <w:tcPr>
            <w:tcW w:w="580" w:type="pct"/>
            <w:vMerge w:val="restart"/>
            <w:shd w:val="clear" w:color="auto" w:fill="4472C4" w:themeFill="accent5"/>
            <w:tcMar>
              <w:top w:w="72" w:type="dxa"/>
              <w:left w:w="72" w:type="dxa"/>
              <w:bottom w:w="72" w:type="dxa"/>
              <w:right w:w="72" w:type="dxa"/>
            </w:tcMar>
            <w:vAlign w:val="center"/>
            <w:hideMark/>
          </w:tcPr>
          <w:p w:rsidR="00155C90" w:rsidRPr="00ED2A47" w:rsidRDefault="00155C90" w:rsidP="00E1721C">
            <w:pPr>
              <w:rPr>
                <w:rFonts w:ascii="Arial" w:hAnsi="Arial" w:cs="Arial"/>
                <w:b/>
                <w:color w:val="FFFFFF"/>
                <w:sz w:val="20"/>
                <w:szCs w:val="20"/>
              </w:rPr>
            </w:pPr>
            <w:r w:rsidRPr="00ED2A47">
              <w:rPr>
                <w:rFonts w:ascii="Arial" w:hAnsi="Arial" w:cs="Arial"/>
                <w:b/>
                <w:color w:val="FFFFFF"/>
                <w:kern w:val="24"/>
                <w:sz w:val="20"/>
                <w:szCs w:val="20"/>
              </w:rPr>
              <w:t xml:space="preserve">Peer Group Rankings </w:t>
            </w:r>
          </w:p>
          <w:p w:rsidR="00155C90" w:rsidRPr="00ED2A47" w:rsidRDefault="00155C90" w:rsidP="00E1721C">
            <w:pPr>
              <w:rPr>
                <w:rFonts w:ascii="Arial" w:hAnsi="Arial" w:cs="Arial"/>
                <w:b/>
                <w:color w:val="FFFFFF"/>
                <w:sz w:val="20"/>
                <w:szCs w:val="20"/>
              </w:rPr>
            </w:pPr>
            <w:r w:rsidRPr="00ED2A47">
              <w:rPr>
                <w:rFonts w:ascii="Arial" w:hAnsi="Arial" w:cs="Arial"/>
                <w:b/>
                <w:color w:val="FFFFFF"/>
                <w:kern w:val="24"/>
                <w:sz w:val="20"/>
                <w:szCs w:val="20"/>
              </w:rPr>
              <w:t>20%</w:t>
            </w:r>
          </w:p>
        </w:tc>
        <w:tc>
          <w:tcPr>
            <w:tcW w:w="3929" w:type="pct"/>
            <w:shd w:val="clear" w:color="auto" w:fill="auto"/>
            <w:tcMar>
              <w:top w:w="72" w:type="dxa"/>
              <w:left w:w="72" w:type="dxa"/>
              <w:bottom w:w="72" w:type="dxa"/>
              <w:right w:w="72" w:type="dxa"/>
            </w:tcMar>
            <w:vAlign w:val="center"/>
            <w:hideMark/>
          </w:tcPr>
          <w:p w:rsidR="00155C90" w:rsidRPr="00ED2A47" w:rsidRDefault="00155C90" w:rsidP="00E1721C">
            <w:pPr>
              <w:rPr>
                <w:rFonts w:ascii="Arial" w:hAnsi="Arial" w:cs="Arial"/>
                <w:sz w:val="20"/>
                <w:szCs w:val="20"/>
              </w:rPr>
            </w:pPr>
            <w:r w:rsidRPr="00ED2A47">
              <w:rPr>
                <w:rFonts w:ascii="Arial" w:hAnsi="Arial" w:cs="Arial"/>
                <w:b/>
                <w:bCs/>
                <w:color w:val="000000"/>
                <w:kern w:val="24"/>
                <w:sz w:val="20"/>
                <w:szCs w:val="20"/>
              </w:rPr>
              <w:t>Returns Peer Group Ranking:</w:t>
            </w:r>
            <w:r w:rsidRPr="00ED2A47">
              <w:rPr>
                <w:rFonts w:ascii="Arial" w:hAnsi="Arial" w:cs="Arial"/>
                <w:color w:val="000000"/>
                <w:kern w:val="24"/>
                <w:sz w:val="20"/>
                <w:szCs w:val="20"/>
              </w:rPr>
              <w:t xml:space="preserve"> Fund passes if its median rank is above the 50</w:t>
            </w:r>
            <w:r w:rsidRPr="00ED2A47">
              <w:rPr>
                <w:rFonts w:ascii="Arial" w:hAnsi="Arial" w:cs="Arial"/>
                <w:color w:val="000000"/>
                <w:kern w:val="24"/>
                <w:position w:val="5"/>
                <w:sz w:val="20"/>
                <w:szCs w:val="20"/>
                <w:vertAlign w:val="superscript"/>
              </w:rPr>
              <w:t>th</w:t>
            </w:r>
            <w:r w:rsidRPr="00ED2A47">
              <w:rPr>
                <w:rFonts w:ascii="Arial" w:hAnsi="Arial" w:cs="Arial"/>
                <w:color w:val="000000"/>
                <w:kern w:val="24"/>
                <w:sz w:val="20"/>
                <w:szCs w:val="20"/>
              </w:rPr>
              <w:t xml:space="preserve"> percentile.  </w:t>
            </w:r>
          </w:p>
        </w:tc>
        <w:tc>
          <w:tcPr>
            <w:tcW w:w="492" w:type="pct"/>
            <w:shd w:val="clear" w:color="auto" w:fill="4472C4" w:themeFill="accent5"/>
            <w:tcMar>
              <w:top w:w="72" w:type="dxa"/>
              <w:left w:w="72" w:type="dxa"/>
              <w:bottom w:w="72" w:type="dxa"/>
              <w:right w:w="72" w:type="dxa"/>
            </w:tcMar>
            <w:vAlign w:val="center"/>
            <w:hideMark/>
          </w:tcPr>
          <w:p w:rsidR="00155C90" w:rsidRPr="00ED2A47" w:rsidRDefault="00155C90" w:rsidP="00E1721C">
            <w:pPr>
              <w:jc w:val="center"/>
              <w:rPr>
                <w:rFonts w:ascii="Arial" w:hAnsi="Arial" w:cs="Arial"/>
                <w:b/>
                <w:color w:val="FFFFFF"/>
                <w:sz w:val="20"/>
                <w:szCs w:val="20"/>
              </w:rPr>
            </w:pPr>
            <w:r w:rsidRPr="00ED2A47">
              <w:rPr>
                <w:rFonts w:ascii="Arial" w:hAnsi="Arial" w:cs="Arial"/>
                <w:b/>
                <w:color w:val="FFFFFF"/>
                <w:sz w:val="20"/>
                <w:szCs w:val="20"/>
              </w:rPr>
              <w:t>1</w:t>
            </w:r>
          </w:p>
        </w:tc>
      </w:tr>
      <w:tr w:rsidR="00155C90" w:rsidRPr="00ED2A47" w:rsidTr="00E1721C">
        <w:trPr>
          <w:trHeight w:val="432"/>
          <w:jc w:val="center"/>
        </w:trPr>
        <w:tc>
          <w:tcPr>
            <w:tcW w:w="580" w:type="pct"/>
            <w:vMerge/>
            <w:shd w:val="clear" w:color="auto" w:fill="4472C4" w:themeFill="accent5"/>
            <w:vAlign w:val="center"/>
            <w:hideMark/>
          </w:tcPr>
          <w:p w:rsidR="00155C90" w:rsidRPr="00ED2A47" w:rsidRDefault="00155C90" w:rsidP="00E1721C">
            <w:pPr>
              <w:rPr>
                <w:rFonts w:ascii="Arial" w:hAnsi="Arial" w:cs="Arial"/>
                <w:b/>
                <w:color w:val="FFFFFF"/>
                <w:sz w:val="20"/>
                <w:szCs w:val="20"/>
              </w:rPr>
            </w:pPr>
          </w:p>
        </w:tc>
        <w:tc>
          <w:tcPr>
            <w:tcW w:w="3929" w:type="pct"/>
            <w:shd w:val="clear" w:color="auto" w:fill="auto"/>
            <w:tcMar>
              <w:top w:w="72" w:type="dxa"/>
              <w:left w:w="72" w:type="dxa"/>
              <w:bottom w:w="72" w:type="dxa"/>
              <w:right w:w="72" w:type="dxa"/>
            </w:tcMar>
            <w:vAlign w:val="center"/>
            <w:hideMark/>
          </w:tcPr>
          <w:p w:rsidR="00155C90" w:rsidRPr="00ED2A47" w:rsidRDefault="00155C90" w:rsidP="00E1721C">
            <w:pPr>
              <w:rPr>
                <w:rFonts w:ascii="Arial" w:hAnsi="Arial" w:cs="Arial"/>
                <w:sz w:val="20"/>
                <w:szCs w:val="20"/>
              </w:rPr>
            </w:pPr>
            <w:r w:rsidRPr="00ED2A47">
              <w:rPr>
                <w:rFonts w:ascii="Arial" w:hAnsi="Arial" w:cs="Arial"/>
                <w:b/>
                <w:bCs/>
                <w:color w:val="000000"/>
                <w:kern w:val="24"/>
                <w:sz w:val="20"/>
                <w:szCs w:val="20"/>
              </w:rPr>
              <w:t>Information Ratio Peer Group Ranking:</w:t>
            </w:r>
            <w:r w:rsidRPr="00ED2A47">
              <w:rPr>
                <w:rFonts w:ascii="Arial" w:hAnsi="Arial" w:cs="Arial"/>
                <w:color w:val="000000"/>
                <w:kern w:val="24"/>
                <w:sz w:val="20"/>
                <w:szCs w:val="20"/>
              </w:rPr>
              <w:t xml:space="preserve"> Fund passes if its median rank is above the 50</w:t>
            </w:r>
            <w:r w:rsidRPr="00ED2A47">
              <w:rPr>
                <w:rFonts w:ascii="Arial" w:hAnsi="Arial" w:cs="Arial"/>
                <w:color w:val="000000"/>
                <w:kern w:val="24"/>
                <w:position w:val="5"/>
                <w:sz w:val="20"/>
                <w:szCs w:val="20"/>
                <w:vertAlign w:val="superscript"/>
              </w:rPr>
              <w:t>th</w:t>
            </w:r>
            <w:r w:rsidRPr="00ED2A47">
              <w:rPr>
                <w:rFonts w:ascii="Arial" w:hAnsi="Arial" w:cs="Arial"/>
                <w:color w:val="000000"/>
                <w:kern w:val="24"/>
                <w:sz w:val="20"/>
                <w:szCs w:val="20"/>
              </w:rPr>
              <w:t xml:space="preserve"> perc</w:t>
            </w:r>
            <w:r>
              <w:rPr>
                <w:rFonts w:ascii="Arial" w:hAnsi="Arial" w:cs="Arial"/>
                <w:color w:val="000000"/>
                <w:kern w:val="24"/>
                <w:sz w:val="20"/>
                <w:szCs w:val="20"/>
              </w:rPr>
              <w:t>entile. This ranking ranks risk-</w:t>
            </w:r>
            <w:r w:rsidRPr="00ED2A47">
              <w:rPr>
                <w:rFonts w:ascii="Arial" w:hAnsi="Arial" w:cs="Arial"/>
                <w:color w:val="000000"/>
                <w:kern w:val="24"/>
                <w:sz w:val="20"/>
                <w:szCs w:val="20"/>
              </w:rPr>
              <w:t>adjusted excess return.</w:t>
            </w:r>
          </w:p>
        </w:tc>
        <w:tc>
          <w:tcPr>
            <w:tcW w:w="492" w:type="pct"/>
            <w:shd w:val="clear" w:color="auto" w:fill="4472C4" w:themeFill="accent5"/>
            <w:vAlign w:val="center"/>
            <w:hideMark/>
          </w:tcPr>
          <w:p w:rsidR="00155C90" w:rsidRPr="00ED2A47" w:rsidRDefault="00155C90" w:rsidP="00E1721C">
            <w:pPr>
              <w:jc w:val="center"/>
              <w:rPr>
                <w:rFonts w:ascii="Arial" w:hAnsi="Arial" w:cs="Arial"/>
                <w:b/>
                <w:color w:val="FFFFFF"/>
                <w:sz w:val="20"/>
                <w:szCs w:val="20"/>
              </w:rPr>
            </w:pPr>
            <w:r w:rsidRPr="00ED2A47">
              <w:rPr>
                <w:rFonts w:ascii="Arial" w:hAnsi="Arial" w:cs="Arial"/>
                <w:b/>
                <w:color w:val="FFFFFF"/>
                <w:sz w:val="20"/>
                <w:szCs w:val="20"/>
              </w:rPr>
              <w:t>1</w:t>
            </w:r>
          </w:p>
        </w:tc>
      </w:tr>
      <w:tr w:rsidR="00155C90" w:rsidRPr="00ED2A47" w:rsidTr="00E1721C">
        <w:trPr>
          <w:trHeight w:val="503"/>
          <w:jc w:val="center"/>
        </w:trPr>
        <w:tc>
          <w:tcPr>
            <w:tcW w:w="580" w:type="pct"/>
            <w:shd w:val="clear" w:color="auto" w:fill="8EAADB" w:themeFill="accent5" w:themeFillTint="99"/>
            <w:tcMar>
              <w:top w:w="72" w:type="dxa"/>
              <w:left w:w="72" w:type="dxa"/>
              <w:bottom w:w="72" w:type="dxa"/>
              <w:right w:w="72" w:type="dxa"/>
            </w:tcMar>
            <w:vAlign w:val="center"/>
            <w:hideMark/>
          </w:tcPr>
          <w:p w:rsidR="00155C90" w:rsidRPr="00ED2A47" w:rsidRDefault="00155C90" w:rsidP="00E1721C">
            <w:pPr>
              <w:rPr>
                <w:rFonts w:ascii="Arial" w:hAnsi="Arial" w:cs="Arial"/>
                <w:b/>
                <w:color w:val="FFFFFF"/>
                <w:sz w:val="20"/>
                <w:szCs w:val="20"/>
              </w:rPr>
            </w:pPr>
            <w:r w:rsidRPr="00ED2A47">
              <w:rPr>
                <w:rFonts w:ascii="Arial" w:hAnsi="Arial" w:cs="Arial"/>
                <w:b/>
                <w:color w:val="FFFFFF"/>
                <w:kern w:val="24"/>
                <w:sz w:val="20"/>
                <w:szCs w:val="20"/>
              </w:rPr>
              <w:t>Qualitative Factors</w:t>
            </w:r>
          </w:p>
          <w:p w:rsidR="00155C90" w:rsidRPr="00ED2A47" w:rsidRDefault="00155C90" w:rsidP="00E1721C">
            <w:pPr>
              <w:rPr>
                <w:rFonts w:ascii="Arial" w:hAnsi="Arial" w:cs="Arial"/>
                <w:b/>
                <w:color w:val="FFFFFF"/>
                <w:sz w:val="20"/>
                <w:szCs w:val="20"/>
              </w:rPr>
            </w:pPr>
            <w:r w:rsidRPr="00ED2A47">
              <w:rPr>
                <w:rFonts w:ascii="Arial" w:hAnsi="Arial" w:cs="Arial"/>
                <w:b/>
                <w:color w:val="FFFFFF"/>
                <w:kern w:val="24"/>
                <w:sz w:val="20"/>
                <w:szCs w:val="20"/>
              </w:rPr>
              <w:t>20%</w:t>
            </w:r>
          </w:p>
        </w:tc>
        <w:tc>
          <w:tcPr>
            <w:tcW w:w="3929" w:type="pct"/>
            <w:shd w:val="clear" w:color="auto" w:fill="auto"/>
            <w:tcMar>
              <w:top w:w="72" w:type="dxa"/>
              <w:left w:w="72" w:type="dxa"/>
              <w:bottom w:w="72" w:type="dxa"/>
              <w:right w:w="72" w:type="dxa"/>
            </w:tcMar>
            <w:vAlign w:val="center"/>
            <w:hideMark/>
          </w:tcPr>
          <w:p w:rsidR="00155C90" w:rsidRPr="00ED2A47" w:rsidRDefault="00155C90" w:rsidP="00E1721C">
            <w:pPr>
              <w:rPr>
                <w:rFonts w:ascii="Arial" w:hAnsi="Arial" w:cs="Arial"/>
                <w:sz w:val="20"/>
                <w:szCs w:val="20"/>
              </w:rPr>
            </w:pPr>
            <w:r w:rsidRPr="00ED2A47">
              <w:rPr>
                <w:rFonts w:ascii="Arial" w:hAnsi="Arial" w:cs="Arial"/>
                <w:color w:val="000000"/>
                <w:kern w:val="24"/>
                <w:sz w:val="20"/>
                <w:szCs w:val="20"/>
              </w:rPr>
              <w:t>Two points may be awarded based on qualitative characteristics of the fund. Primary considerations are given to manager tenure, fund expenses and strength of statistics, however, other significant factors may be considered.</w:t>
            </w:r>
            <w:r w:rsidRPr="00ED2A47">
              <w:rPr>
                <w:rFonts w:ascii="Arial" w:hAnsi="Arial" w:cs="Arial"/>
                <w:sz w:val="20"/>
                <w:szCs w:val="20"/>
              </w:rPr>
              <w:t xml:space="preserve"> </w:t>
            </w:r>
            <w:r w:rsidRPr="00ED2A47">
              <w:rPr>
                <w:rFonts w:ascii="Arial" w:hAnsi="Arial" w:cs="Arial"/>
                <w:color w:val="000000"/>
                <w:kern w:val="24"/>
                <w:sz w:val="20"/>
                <w:szCs w:val="20"/>
              </w:rPr>
              <w:t>It is imp</w:t>
            </w:r>
            <w:r w:rsidR="00157BA0">
              <w:rPr>
                <w:rFonts w:ascii="Arial" w:hAnsi="Arial" w:cs="Arial"/>
                <w:color w:val="000000"/>
                <w:kern w:val="24"/>
                <w:sz w:val="20"/>
                <w:szCs w:val="20"/>
              </w:rPr>
              <w:t>ortant to take into account non</w:t>
            </w:r>
            <w:r w:rsidRPr="00ED2A47">
              <w:rPr>
                <w:rFonts w:ascii="Arial" w:hAnsi="Arial" w:cs="Arial"/>
                <w:color w:val="000000"/>
                <w:kern w:val="24"/>
                <w:sz w:val="20"/>
                <w:szCs w:val="20"/>
              </w:rPr>
              <w:t>quantitative factors, which may impact future performance.</w:t>
            </w:r>
          </w:p>
        </w:tc>
        <w:tc>
          <w:tcPr>
            <w:tcW w:w="492" w:type="pct"/>
            <w:shd w:val="clear" w:color="auto" w:fill="8EAADB" w:themeFill="accent5" w:themeFillTint="99"/>
            <w:tcMar>
              <w:top w:w="72" w:type="dxa"/>
              <w:left w:w="72" w:type="dxa"/>
              <w:bottom w:w="72" w:type="dxa"/>
              <w:right w:w="72" w:type="dxa"/>
            </w:tcMar>
            <w:vAlign w:val="center"/>
            <w:hideMark/>
          </w:tcPr>
          <w:p w:rsidR="00155C90" w:rsidRPr="00ED2A47" w:rsidRDefault="00155C90" w:rsidP="00E1721C">
            <w:pPr>
              <w:jc w:val="center"/>
              <w:rPr>
                <w:rFonts w:ascii="Arial" w:hAnsi="Arial" w:cs="Arial"/>
                <w:b/>
                <w:color w:val="FFFFFF"/>
                <w:sz w:val="20"/>
                <w:szCs w:val="20"/>
              </w:rPr>
            </w:pPr>
            <w:r w:rsidRPr="00ED2A47">
              <w:rPr>
                <w:rFonts w:ascii="Arial" w:hAnsi="Arial" w:cs="Arial"/>
                <w:b/>
                <w:color w:val="FFFFFF"/>
                <w:kern w:val="24"/>
                <w:sz w:val="20"/>
                <w:szCs w:val="20"/>
              </w:rPr>
              <w:t>2</w:t>
            </w:r>
          </w:p>
        </w:tc>
      </w:tr>
      <w:tr w:rsidR="00155C90" w:rsidRPr="00ED2A47" w:rsidTr="00E1721C">
        <w:trPr>
          <w:trHeight w:val="20"/>
          <w:jc w:val="center"/>
        </w:trPr>
        <w:tc>
          <w:tcPr>
            <w:tcW w:w="580" w:type="pct"/>
            <w:shd w:val="clear" w:color="auto" w:fill="7F7F7F" w:themeFill="text1" w:themeFillTint="80"/>
            <w:tcMar>
              <w:top w:w="72" w:type="dxa"/>
              <w:left w:w="72" w:type="dxa"/>
              <w:bottom w:w="72" w:type="dxa"/>
              <w:right w:w="72" w:type="dxa"/>
            </w:tcMar>
            <w:vAlign w:val="center"/>
            <w:hideMark/>
          </w:tcPr>
          <w:p w:rsidR="00155C90" w:rsidRPr="00ED2A47" w:rsidRDefault="00155C90" w:rsidP="00E1721C">
            <w:pPr>
              <w:rPr>
                <w:rFonts w:ascii="Arial" w:hAnsi="Arial" w:cs="Arial"/>
                <w:color w:val="FFFFFF" w:themeColor="background1"/>
                <w:sz w:val="20"/>
                <w:szCs w:val="20"/>
              </w:rPr>
            </w:pPr>
          </w:p>
        </w:tc>
        <w:tc>
          <w:tcPr>
            <w:tcW w:w="3929" w:type="pct"/>
            <w:shd w:val="clear" w:color="auto" w:fill="7F7F7F" w:themeFill="text1" w:themeFillTint="80"/>
            <w:tcMar>
              <w:top w:w="72" w:type="dxa"/>
              <w:left w:w="72" w:type="dxa"/>
              <w:bottom w:w="72" w:type="dxa"/>
              <w:right w:w="72" w:type="dxa"/>
            </w:tcMar>
            <w:vAlign w:val="center"/>
            <w:hideMark/>
          </w:tcPr>
          <w:p w:rsidR="00155C90" w:rsidRPr="00ED2A47" w:rsidRDefault="00155C90" w:rsidP="00E1721C">
            <w:pPr>
              <w:jc w:val="right"/>
              <w:rPr>
                <w:rFonts w:ascii="Arial" w:hAnsi="Arial" w:cs="Arial"/>
                <w:color w:val="FFFFFF" w:themeColor="background1"/>
                <w:sz w:val="20"/>
                <w:szCs w:val="20"/>
              </w:rPr>
            </w:pPr>
            <w:r w:rsidRPr="00ED2A47">
              <w:rPr>
                <w:rFonts w:ascii="Arial" w:hAnsi="Arial" w:cs="Arial"/>
                <w:b/>
                <w:bCs/>
                <w:color w:val="FFFFFF" w:themeColor="background1"/>
                <w:kern w:val="24"/>
                <w:sz w:val="20"/>
                <w:szCs w:val="20"/>
              </w:rPr>
              <w:t>Total</w:t>
            </w:r>
          </w:p>
        </w:tc>
        <w:tc>
          <w:tcPr>
            <w:tcW w:w="492" w:type="pct"/>
            <w:shd w:val="clear" w:color="auto" w:fill="7F7F7F" w:themeFill="text1" w:themeFillTint="80"/>
            <w:tcMar>
              <w:top w:w="72" w:type="dxa"/>
              <w:left w:w="72" w:type="dxa"/>
              <w:bottom w:w="72" w:type="dxa"/>
              <w:right w:w="72" w:type="dxa"/>
            </w:tcMar>
            <w:vAlign w:val="center"/>
            <w:hideMark/>
          </w:tcPr>
          <w:p w:rsidR="00155C90" w:rsidRPr="00ED2A47" w:rsidRDefault="00155C90" w:rsidP="00E1721C">
            <w:pPr>
              <w:jc w:val="center"/>
              <w:rPr>
                <w:rFonts w:ascii="Arial" w:hAnsi="Arial" w:cs="Arial"/>
                <w:color w:val="FFFFFF" w:themeColor="background1"/>
                <w:sz w:val="20"/>
                <w:szCs w:val="20"/>
              </w:rPr>
            </w:pPr>
            <w:r w:rsidRPr="00ED2A47">
              <w:rPr>
                <w:rFonts w:ascii="Arial" w:hAnsi="Arial" w:cs="Arial"/>
                <w:b/>
                <w:bCs/>
                <w:color w:val="FFFFFF" w:themeColor="background1"/>
                <w:kern w:val="24"/>
                <w:sz w:val="20"/>
                <w:szCs w:val="20"/>
              </w:rPr>
              <w:t>10</w:t>
            </w:r>
          </w:p>
        </w:tc>
      </w:tr>
    </w:tbl>
    <w:p w:rsidR="00155C90" w:rsidRPr="00534362" w:rsidRDefault="00155C90" w:rsidP="00155C90">
      <w:pPr>
        <w:outlineLvl w:val="0"/>
        <w:rPr>
          <w:rFonts w:ascii="Arial" w:hAnsi="Arial" w:cs="Arial"/>
        </w:rPr>
      </w:pPr>
    </w:p>
    <w:p w:rsidR="00155C90" w:rsidRDefault="00155C90" w:rsidP="00155C90">
      <w:pPr>
        <w:rPr>
          <w:rFonts w:ascii="Arial" w:hAnsi="Arial" w:cs="Arial"/>
          <w:b/>
          <w:sz w:val="36"/>
          <w:szCs w:val="32"/>
        </w:rPr>
      </w:pPr>
      <w:r>
        <w:rPr>
          <w:rFonts w:ascii="Arial" w:hAnsi="Arial" w:cs="Arial"/>
          <w:b/>
          <w:sz w:val="36"/>
          <w:szCs w:val="36"/>
        </w:rPr>
        <w:br w:type="page"/>
      </w:r>
      <w:r w:rsidRPr="006A7645">
        <w:rPr>
          <w:rFonts w:ascii="Arial" w:hAnsi="Arial" w:cs="Arial"/>
          <w:b/>
          <w:sz w:val="36"/>
          <w:szCs w:val="32"/>
        </w:rPr>
        <w:lastRenderedPageBreak/>
        <w:t>Scorecard</w:t>
      </w:r>
      <w:r>
        <w:rPr>
          <w:rFonts w:ascii="Arial" w:hAnsi="Arial" w:cs="Arial"/>
          <w:b/>
          <w:sz w:val="36"/>
          <w:szCs w:val="32"/>
        </w:rPr>
        <w:t xml:space="preserve"> System Methodology™</w:t>
      </w:r>
      <w:r>
        <w:rPr>
          <w:rFonts w:ascii="Arial" w:hAnsi="Arial" w:cs="Arial"/>
          <w:b/>
          <w:sz w:val="36"/>
          <w:szCs w:val="32"/>
        </w:rPr>
        <w:tab/>
      </w:r>
      <w:r>
        <w:rPr>
          <w:rFonts w:ascii="Arial" w:hAnsi="Arial" w:cs="Arial"/>
          <w:b/>
          <w:sz w:val="36"/>
          <w:szCs w:val="32"/>
        </w:rPr>
        <w:tab/>
        <w:t xml:space="preserve">  </w:t>
      </w:r>
      <w:r>
        <w:rPr>
          <w:rFonts w:ascii="Arial" w:hAnsi="Arial" w:cs="Arial"/>
          <w:b/>
          <w:sz w:val="36"/>
          <w:szCs w:val="32"/>
        </w:rPr>
        <w:tab/>
        <w:t xml:space="preserve">    </w:t>
      </w:r>
    </w:p>
    <w:p w:rsidR="00155C90" w:rsidRPr="00F33818" w:rsidRDefault="00155C90" w:rsidP="00155C90">
      <w:pPr>
        <w:rPr>
          <w:rFonts w:ascii="Arial" w:hAnsi="Arial" w:cs="Arial"/>
          <w:i/>
          <w:color w:val="44546A" w:themeColor="text2"/>
          <w:sz w:val="32"/>
          <w:szCs w:val="32"/>
        </w:rPr>
      </w:pPr>
      <w:r w:rsidRPr="00F33818">
        <w:rPr>
          <w:rFonts w:ascii="Arial" w:hAnsi="Arial" w:cs="Arial"/>
          <w:i/>
          <w:color w:val="44546A" w:themeColor="text2"/>
          <w:sz w:val="32"/>
          <w:szCs w:val="32"/>
        </w:rPr>
        <w:t>Passive Strategies</w:t>
      </w:r>
    </w:p>
    <w:p w:rsidR="00155C90" w:rsidRPr="00ED2A47" w:rsidRDefault="00155C90" w:rsidP="00155C90">
      <w:pPr>
        <w:outlineLvl w:val="0"/>
        <w:rPr>
          <w:rFonts w:ascii="Arial" w:hAnsi="Arial" w:cs="Arial"/>
          <w:sz w:val="20"/>
          <w:szCs w:val="20"/>
        </w:rPr>
      </w:pPr>
    </w:p>
    <w:p w:rsidR="00155C90" w:rsidRPr="00ED2A47" w:rsidRDefault="00155C90" w:rsidP="00155C90">
      <w:pPr>
        <w:outlineLvl w:val="0"/>
        <w:rPr>
          <w:rFonts w:ascii="Arial" w:hAnsi="Arial" w:cs="Arial"/>
          <w:sz w:val="20"/>
          <w:szCs w:val="20"/>
        </w:rPr>
      </w:pPr>
      <w:r w:rsidRPr="00ED2A47">
        <w:rPr>
          <w:rFonts w:ascii="Arial" w:hAnsi="Arial" w:cs="Arial"/>
          <w:b/>
          <w:sz w:val="20"/>
          <w:szCs w:val="20"/>
        </w:rPr>
        <w:t>Passive strategies</w:t>
      </w:r>
      <w:r w:rsidRPr="00ED2A47">
        <w:rPr>
          <w:rFonts w:ascii="Arial" w:hAnsi="Arial" w:cs="Arial"/>
          <w:sz w:val="20"/>
          <w:szCs w:val="20"/>
        </w:rPr>
        <w:t xml:space="preserve"> are investment strategies where the fund manager is trying to track or replicate some area of the market. These types of strategies may be broad-based in nature (e.g., the fund manager is trying to track/replicate the entire U.S. equity market like the S&amp;P 500) or may be more specific to a particular area of the market (e.g., the fund manager may be trying to track/replicate the technology sector). These investment strategies typically have lower </w:t>
      </w:r>
      <w:r>
        <w:rPr>
          <w:rFonts w:ascii="Arial" w:hAnsi="Arial" w:cs="Arial"/>
          <w:sz w:val="20"/>
          <w:szCs w:val="20"/>
        </w:rPr>
        <w:t>fee</w:t>
      </w:r>
      <w:r w:rsidRPr="00ED2A47">
        <w:rPr>
          <w:rFonts w:ascii="Arial" w:hAnsi="Arial" w:cs="Arial"/>
          <w:sz w:val="20"/>
          <w:szCs w:val="20"/>
        </w:rPr>
        <w:t xml:space="preserve">s than active investment strategies due to their passive nature of investing and are commonly referred to as index funds. For this type of investment strategy, the </w:t>
      </w:r>
      <w:r w:rsidRPr="00ED2A47">
        <w:rPr>
          <w:rFonts w:ascii="Arial" w:eastAsia="+mn-ea" w:hAnsi="Arial" w:cs="+mn-cs"/>
          <w:b/>
          <w:bCs/>
          <w:kern w:val="24"/>
          <w:sz w:val="20"/>
          <w:szCs w:val="20"/>
        </w:rPr>
        <w:t>Scorecard</w:t>
      </w:r>
      <w:r w:rsidRPr="00ED2A47">
        <w:rPr>
          <w:rFonts w:ascii="Arial" w:hAnsi="Arial" w:cs="Arial"/>
          <w:sz w:val="20"/>
          <w:szCs w:val="20"/>
        </w:rPr>
        <w:t xml:space="preserve"> </w:t>
      </w:r>
      <w:r w:rsidRPr="00ED2A47">
        <w:rPr>
          <w:rFonts w:ascii="Arial" w:hAnsi="Arial" w:cs="Arial"/>
          <w:b/>
          <w:sz w:val="20"/>
          <w:szCs w:val="20"/>
        </w:rPr>
        <w:t>System</w:t>
      </w:r>
      <w:r w:rsidRPr="00ED2A47">
        <w:rPr>
          <w:rFonts w:ascii="Arial" w:hAnsi="Arial" w:cs="Arial"/>
          <w:sz w:val="20"/>
          <w:szCs w:val="20"/>
        </w:rPr>
        <w:t xml:space="preserve"> is focused on how well these managers track and/or replicate a particular area of the market with an emphasis on how they compare against their peers.</w:t>
      </w:r>
    </w:p>
    <w:p w:rsidR="00155C90" w:rsidRPr="00ED2A47" w:rsidRDefault="00155C90" w:rsidP="00155C90">
      <w:pPr>
        <w:outlineLvl w:val="0"/>
        <w:rPr>
          <w:rFonts w:ascii="Arial" w:hAnsi="Arial" w:cs="Arial"/>
          <w:sz w:val="20"/>
          <w:szCs w:val="20"/>
        </w:rPr>
      </w:pPr>
    </w:p>
    <w:p w:rsidR="00155C90" w:rsidRDefault="00155C90" w:rsidP="00155C90">
      <w:pPr>
        <w:outlineLvl w:val="0"/>
        <w:rPr>
          <w:rFonts w:ascii="Arial" w:hAnsi="Arial" w:cs="Arial"/>
        </w:rPr>
      </w:pPr>
    </w:p>
    <w:p w:rsidR="00155C90" w:rsidRDefault="00155C90" w:rsidP="00155C90">
      <w:pPr>
        <w:outlineLvl w:val="0"/>
        <w:rPr>
          <w:rFonts w:ascii="Arial" w:hAnsi="Arial" w:cs="Arial"/>
        </w:rPr>
      </w:pPr>
    </w:p>
    <w:tbl>
      <w:tblPr>
        <w:tblW w:w="5000" w:type="pct"/>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0" w:type="dxa"/>
        </w:tblCellMar>
        <w:tblLook w:val="04A0" w:firstRow="1" w:lastRow="0" w:firstColumn="1" w:lastColumn="0" w:noHBand="0" w:noVBand="1"/>
      </w:tblPr>
      <w:tblGrid>
        <w:gridCol w:w="1222"/>
        <w:gridCol w:w="7503"/>
        <w:gridCol w:w="1067"/>
      </w:tblGrid>
      <w:tr w:rsidR="00155C90" w:rsidRPr="00ED2A47" w:rsidTr="00E1721C">
        <w:trPr>
          <w:jc w:val="center"/>
        </w:trPr>
        <w:tc>
          <w:tcPr>
            <w:tcW w:w="589" w:type="pct"/>
            <w:shd w:val="clear" w:color="auto" w:fill="7F7F7F" w:themeFill="text1" w:themeFillTint="80"/>
            <w:tcMar>
              <w:top w:w="72" w:type="dxa"/>
              <w:left w:w="72" w:type="dxa"/>
              <w:bottom w:w="72" w:type="dxa"/>
              <w:right w:w="72" w:type="dxa"/>
            </w:tcMar>
            <w:vAlign w:val="center"/>
            <w:hideMark/>
          </w:tcPr>
          <w:p w:rsidR="00155C90" w:rsidRPr="00ED2A47" w:rsidRDefault="00155C90" w:rsidP="00E1721C">
            <w:pPr>
              <w:spacing w:before="66" w:after="66"/>
              <w:jc w:val="center"/>
              <w:rPr>
                <w:rFonts w:ascii="Arial" w:hAnsi="Arial" w:cs="Arial"/>
                <w:color w:val="FFFFFF" w:themeColor="background1"/>
                <w:sz w:val="20"/>
                <w:szCs w:val="20"/>
              </w:rPr>
            </w:pPr>
            <w:r w:rsidRPr="00ED2A47">
              <w:rPr>
                <w:rFonts w:ascii="Arial" w:hAnsi="Arial" w:cs="Arial"/>
                <w:b/>
                <w:color w:val="FFFFFF" w:themeColor="background1"/>
                <w:sz w:val="20"/>
                <w:szCs w:val="20"/>
              </w:rPr>
              <w:t>Weightings</w:t>
            </w:r>
          </w:p>
        </w:tc>
        <w:tc>
          <w:tcPr>
            <w:tcW w:w="3921" w:type="pct"/>
            <w:shd w:val="clear" w:color="auto" w:fill="7F7F7F" w:themeFill="text1" w:themeFillTint="80"/>
            <w:vAlign w:val="center"/>
          </w:tcPr>
          <w:p w:rsidR="00155C90" w:rsidRPr="00ED2A47" w:rsidRDefault="00155C90" w:rsidP="00E1721C">
            <w:pPr>
              <w:spacing w:before="66" w:after="66"/>
              <w:jc w:val="center"/>
              <w:rPr>
                <w:rFonts w:ascii="Arial" w:hAnsi="Arial" w:cs="Arial"/>
                <w:color w:val="FFFFFF" w:themeColor="background1"/>
                <w:sz w:val="20"/>
                <w:szCs w:val="20"/>
              </w:rPr>
            </w:pPr>
            <w:r w:rsidRPr="00ED2A47">
              <w:rPr>
                <w:rFonts w:ascii="Arial" w:hAnsi="Arial" w:cs="Arial"/>
                <w:b/>
                <w:bCs/>
                <w:color w:val="FFFFFF" w:themeColor="background1"/>
                <w:kern w:val="24"/>
                <w:sz w:val="20"/>
                <w:szCs w:val="20"/>
              </w:rPr>
              <w:t>Passive Strategies</w:t>
            </w:r>
          </w:p>
        </w:tc>
        <w:tc>
          <w:tcPr>
            <w:tcW w:w="490" w:type="pct"/>
            <w:shd w:val="clear" w:color="auto" w:fill="7F7F7F" w:themeFill="text1" w:themeFillTint="80"/>
            <w:tcMar>
              <w:top w:w="72" w:type="dxa"/>
              <w:left w:w="72" w:type="dxa"/>
              <w:bottom w:w="72" w:type="dxa"/>
              <w:right w:w="72" w:type="dxa"/>
            </w:tcMar>
            <w:hideMark/>
          </w:tcPr>
          <w:p w:rsidR="00155C90" w:rsidRPr="00ED2A47" w:rsidRDefault="00155C90" w:rsidP="00E1721C">
            <w:pPr>
              <w:jc w:val="center"/>
              <w:rPr>
                <w:rFonts w:ascii="Arial" w:hAnsi="Arial" w:cs="Arial"/>
                <w:color w:val="FFFFFF" w:themeColor="background1"/>
                <w:sz w:val="20"/>
                <w:szCs w:val="20"/>
              </w:rPr>
            </w:pPr>
            <w:r w:rsidRPr="00ED2A47">
              <w:rPr>
                <w:rFonts w:ascii="Arial" w:hAnsi="Arial" w:cs="Arial"/>
                <w:b/>
                <w:bCs/>
                <w:color w:val="FFFFFF" w:themeColor="background1"/>
                <w:kern w:val="24"/>
                <w:sz w:val="20"/>
                <w:szCs w:val="20"/>
              </w:rPr>
              <w:t>Maximum Points</w:t>
            </w:r>
          </w:p>
        </w:tc>
      </w:tr>
      <w:tr w:rsidR="00155C90" w:rsidRPr="00ED2A47" w:rsidTr="007C4BCA">
        <w:trPr>
          <w:trHeight w:val="432"/>
          <w:jc w:val="center"/>
        </w:trPr>
        <w:tc>
          <w:tcPr>
            <w:tcW w:w="592" w:type="pct"/>
            <w:vMerge w:val="restart"/>
            <w:shd w:val="clear" w:color="auto" w:fill="385623" w:themeFill="accent6" w:themeFillShade="80"/>
            <w:tcMar>
              <w:top w:w="72" w:type="dxa"/>
              <w:left w:w="72" w:type="dxa"/>
              <w:bottom w:w="72" w:type="dxa"/>
              <w:right w:w="72" w:type="dxa"/>
            </w:tcMar>
            <w:vAlign w:val="center"/>
            <w:hideMark/>
          </w:tcPr>
          <w:p w:rsidR="00155C90" w:rsidRPr="00ED2A47" w:rsidRDefault="00155C90" w:rsidP="00E1721C">
            <w:pPr>
              <w:rPr>
                <w:rFonts w:ascii="Arial" w:hAnsi="Arial" w:cs="Arial"/>
                <w:b/>
                <w:color w:val="FFFFFF"/>
                <w:sz w:val="20"/>
                <w:szCs w:val="20"/>
              </w:rPr>
            </w:pPr>
            <w:r w:rsidRPr="00ED2A47">
              <w:rPr>
                <w:rFonts w:ascii="Arial" w:hAnsi="Arial"/>
                <w:b/>
                <w:color w:val="FFFFFF"/>
                <w:kern w:val="24"/>
                <w:sz w:val="20"/>
                <w:szCs w:val="20"/>
              </w:rPr>
              <w:t xml:space="preserve">Style &amp; Tracking Factors </w:t>
            </w:r>
          </w:p>
          <w:p w:rsidR="00155C90" w:rsidRPr="00ED2A47" w:rsidRDefault="00155C90" w:rsidP="00E1721C">
            <w:pPr>
              <w:rPr>
                <w:rFonts w:ascii="Arial" w:hAnsi="Arial" w:cs="Arial"/>
                <w:b/>
                <w:color w:val="FFFFFF"/>
                <w:sz w:val="20"/>
                <w:szCs w:val="20"/>
              </w:rPr>
            </w:pPr>
            <w:r w:rsidRPr="00ED2A47">
              <w:rPr>
                <w:rFonts w:ascii="Arial" w:hAnsi="Arial"/>
                <w:b/>
                <w:color w:val="FFFFFF"/>
                <w:kern w:val="24"/>
                <w:sz w:val="20"/>
                <w:szCs w:val="20"/>
              </w:rPr>
              <w:t>40%</w:t>
            </w:r>
          </w:p>
        </w:tc>
        <w:tc>
          <w:tcPr>
            <w:tcW w:w="3918" w:type="pct"/>
            <w:shd w:val="clear" w:color="auto" w:fill="auto"/>
            <w:tcMar>
              <w:top w:w="72" w:type="dxa"/>
              <w:left w:w="72" w:type="dxa"/>
              <w:bottom w:w="72" w:type="dxa"/>
              <w:right w:w="72" w:type="dxa"/>
            </w:tcMar>
            <w:vAlign w:val="center"/>
            <w:hideMark/>
          </w:tcPr>
          <w:p w:rsidR="00155C90" w:rsidRPr="00ED2A47" w:rsidRDefault="00155C90" w:rsidP="00E1721C">
            <w:pPr>
              <w:rPr>
                <w:rFonts w:ascii="Arial" w:hAnsi="Arial" w:cs="Arial"/>
                <w:sz w:val="20"/>
                <w:szCs w:val="20"/>
              </w:rPr>
            </w:pPr>
            <w:r w:rsidRPr="00ED2A47">
              <w:rPr>
                <w:rFonts w:ascii="Arial" w:hAnsi="Arial"/>
                <w:b/>
                <w:bCs/>
                <w:color w:val="000000"/>
                <w:kern w:val="24"/>
                <w:sz w:val="20"/>
                <w:szCs w:val="20"/>
              </w:rPr>
              <w:t>Style Analysis:</w:t>
            </w:r>
            <w:r w:rsidRPr="00ED2A47">
              <w:rPr>
                <w:rFonts w:ascii="Arial" w:hAnsi="Arial"/>
                <w:color w:val="000000"/>
                <w:kern w:val="24"/>
                <w:sz w:val="20"/>
                <w:szCs w:val="20"/>
              </w:rPr>
              <w:t xml:space="preserve"> Returns-based analysis to determine the style characteristics of a fund over a period of time. Fund passes if it reflects the appropriate style characteristics. Style analysis helps ensure proper diversification in the </w:t>
            </w:r>
            <w:r>
              <w:rPr>
                <w:rFonts w:ascii="Arial" w:hAnsi="Arial"/>
                <w:color w:val="000000"/>
                <w:kern w:val="24"/>
                <w:sz w:val="20"/>
                <w:szCs w:val="20"/>
              </w:rPr>
              <w:t>Plan</w:t>
            </w:r>
            <w:r w:rsidRPr="00ED2A47">
              <w:rPr>
                <w:rFonts w:ascii="Arial" w:hAnsi="Arial"/>
                <w:color w:val="000000"/>
                <w:kern w:val="24"/>
                <w:sz w:val="20"/>
                <w:szCs w:val="20"/>
              </w:rPr>
              <w:t>.</w:t>
            </w:r>
          </w:p>
        </w:tc>
        <w:tc>
          <w:tcPr>
            <w:tcW w:w="490" w:type="pct"/>
            <w:shd w:val="clear" w:color="auto" w:fill="385623" w:themeFill="accent6" w:themeFillShade="80"/>
            <w:tcMar>
              <w:top w:w="72" w:type="dxa"/>
              <w:left w:w="72" w:type="dxa"/>
              <w:bottom w:w="72" w:type="dxa"/>
              <w:right w:w="72" w:type="dxa"/>
            </w:tcMar>
            <w:vAlign w:val="center"/>
            <w:hideMark/>
          </w:tcPr>
          <w:p w:rsidR="00155C90" w:rsidRPr="00ED2A47" w:rsidRDefault="00155C90" w:rsidP="00E1721C">
            <w:pPr>
              <w:jc w:val="center"/>
              <w:rPr>
                <w:rFonts w:ascii="Arial" w:hAnsi="Arial" w:cs="Arial"/>
                <w:b/>
                <w:color w:val="FFFFFF"/>
                <w:sz w:val="20"/>
                <w:szCs w:val="20"/>
              </w:rPr>
            </w:pPr>
            <w:r w:rsidRPr="00ED2A47">
              <w:rPr>
                <w:rFonts w:ascii="Arial" w:hAnsi="Arial" w:cs="Arial"/>
                <w:b/>
                <w:color w:val="FFFFFF"/>
                <w:sz w:val="20"/>
                <w:szCs w:val="20"/>
              </w:rPr>
              <w:t>1</w:t>
            </w:r>
          </w:p>
          <w:p w:rsidR="00155C90" w:rsidRPr="00ED2A47" w:rsidRDefault="00155C90" w:rsidP="00E1721C">
            <w:pPr>
              <w:jc w:val="center"/>
              <w:rPr>
                <w:rFonts w:ascii="Arial" w:hAnsi="Arial" w:cs="Arial"/>
                <w:b/>
                <w:color w:val="FFFFFF"/>
                <w:sz w:val="20"/>
                <w:szCs w:val="20"/>
              </w:rPr>
            </w:pPr>
          </w:p>
        </w:tc>
      </w:tr>
      <w:tr w:rsidR="00155C90" w:rsidRPr="00ED2A47" w:rsidTr="007C4BCA">
        <w:trPr>
          <w:trHeight w:val="576"/>
          <w:jc w:val="center"/>
        </w:trPr>
        <w:tc>
          <w:tcPr>
            <w:tcW w:w="592" w:type="pct"/>
            <w:vMerge/>
            <w:shd w:val="clear" w:color="auto" w:fill="385623" w:themeFill="accent6" w:themeFillShade="80"/>
            <w:vAlign w:val="center"/>
            <w:hideMark/>
          </w:tcPr>
          <w:p w:rsidR="00155C90" w:rsidRPr="00ED2A47" w:rsidRDefault="00155C90" w:rsidP="00E1721C">
            <w:pPr>
              <w:rPr>
                <w:rFonts w:ascii="Arial" w:hAnsi="Arial" w:cs="Arial"/>
                <w:b/>
                <w:color w:val="FFFFFF"/>
                <w:sz w:val="20"/>
                <w:szCs w:val="20"/>
              </w:rPr>
            </w:pPr>
          </w:p>
        </w:tc>
        <w:tc>
          <w:tcPr>
            <w:tcW w:w="3918" w:type="pct"/>
            <w:shd w:val="clear" w:color="auto" w:fill="auto"/>
            <w:tcMar>
              <w:top w:w="72" w:type="dxa"/>
              <w:left w:w="72" w:type="dxa"/>
              <w:bottom w:w="72" w:type="dxa"/>
              <w:right w:w="72" w:type="dxa"/>
            </w:tcMar>
            <w:hideMark/>
          </w:tcPr>
          <w:p w:rsidR="00155C90" w:rsidRPr="00ED2A47" w:rsidRDefault="00155C90" w:rsidP="00E1721C">
            <w:pPr>
              <w:rPr>
                <w:rFonts w:ascii="Arial" w:hAnsi="Arial" w:cs="Arial"/>
                <w:sz w:val="20"/>
                <w:szCs w:val="20"/>
              </w:rPr>
            </w:pPr>
            <w:r w:rsidRPr="00ED2A47">
              <w:rPr>
                <w:rFonts w:ascii="Arial" w:hAnsi="Arial"/>
                <w:b/>
                <w:bCs/>
                <w:color w:val="000000"/>
                <w:kern w:val="24"/>
                <w:sz w:val="20"/>
                <w:szCs w:val="20"/>
              </w:rPr>
              <w:t>Style Drift:</w:t>
            </w:r>
            <w:r w:rsidRPr="00ED2A47">
              <w:rPr>
                <w:rFonts w:ascii="Arial" w:hAnsi="Arial"/>
                <w:color w:val="000000"/>
                <w:kern w:val="24"/>
                <w:sz w:val="20"/>
                <w:szCs w:val="20"/>
              </w:rPr>
              <w:t xml:space="preserve"> Returns-based analysis to determine the behavior of the fund/manager over multiple (rolling) time periods. Fund passes if the fund exhibits a consistent style pattern. Style consistency is desired so that funds can be effectively monitored within their designated asset class.</w:t>
            </w:r>
          </w:p>
        </w:tc>
        <w:tc>
          <w:tcPr>
            <w:tcW w:w="490" w:type="pct"/>
            <w:shd w:val="clear" w:color="auto" w:fill="385623" w:themeFill="accent6" w:themeFillShade="80"/>
            <w:vAlign w:val="center"/>
            <w:hideMark/>
          </w:tcPr>
          <w:p w:rsidR="00155C90" w:rsidRPr="00ED2A47" w:rsidRDefault="00155C90" w:rsidP="00E1721C">
            <w:pPr>
              <w:jc w:val="center"/>
              <w:rPr>
                <w:rFonts w:ascii="Arial" w:hAnsi="Arial" w:cs="Arial"/>
                <w:b/>
                <w:color w:val="FFFFFF"/>
                <w:sz w:val="20"/>
                <w:szCs w:val="20"/>
              </w:rPr>
            </w:pPr>
            <w:r w:rsidRPr="00ED2A47">
              <w:rPr>
                <w:rFonts w:ascii="Arial" w:hAnsi="Arial" w:cs="Arial"/>
                <w:b/>
                <w:color w:val="FFFFFF"/>
                <w:sz w:val="20"/>
                <w:szCs w:val="20"/>
              </w:rPr>
              <w:t>1</w:t>
            </w:r>
          </w:p>
          <w:p w:rsidR="00155C90" w:rsidRPr="00ED2A47" w:rsidRDefault="00155C90" w:rsidP="00E1721C">
            <w:pPr>
              <w:jc w:val="center"/>
              <w:rPr>
                <w:rFonts w:ascii="Arial" w:hAnsi="Arial" w:cs="Arial"/>
                <w:b/>
                <w:color w:val="FFFFFF"/>
                <w:sz w:val="20"/>
                <w:szCs w:val="20"/>
              </w:rPr>
            </w:pPr>
          </w:p>
        </w:tc>
      </w:tr>
      <w:tr w:rsidR="00155C90" w:rsidRPr="00ED2A47" w:rsidTr="007C4BCA">
        <w:trPr>
          <w:trHeight w:val="288"/>
          <w:jc w:val="center"/>
        </w:trPr>
        <w:tc>
          <w:tcPr>
            <w:tcW w:w="592" w:type="pct"/>
            <w:vMerge/>
            <w:shd w:val="clear" w:color="auto" w:fill="385623" w:themeFill="accent6" w:themeFillShade="80"/>
            <w:vAlign w:val="center"/>
            <w:hideMark/>
          </w:tcPr>
          <w:p w:rsidR="00155C90" w:rsidRPr="00ED2A47" w:rsidRDefault="00155C90" w:rsidP="00E1721C">
            <w:pPr>
              <w:rPr>
                <w:rFonts w:ascii="Arial" w:hAnsi="Arial" w:cs="Arial"/>
                <w:b/>
                <w:color w:val="FFFFFF"/>
                <w:sz w:val="20"/>
                <w:szCs w:val="20"/>
              </w:rPr>
            </w:pPr>
          </w:p>
        </w:tc>
        <w:tc>
          <w:tcPr>
            <w:tcW w:w="3918" w:type="pct"/>
            <w:shd w:val="clear" w:color="auto" w:fill="auto"/>
            <w:tcMar>
              <w:top w:w="72" w:type="dxa"/>
              <w:left w:w="72" w:type="dxa"/>
              <w:bottom w:w="72" w:type="dxa"/>
              <w:right w:w="72" w:type="dxa"/>
            </w:tcMar>
            <w:hideMark/>
          </w:tcPr>
          <w:p w:rsidR="00155C90" w:rsidRPr="00ED2A47" w:rsidRDefault="00155C90" w:rsidP="00E1721C">
            <w:pPr>
              <w:rPr>
                <w:rFonts w:ascii="Arial" w:hAnsi="Arial" w:cs="Arial"/>
                <w:sz w:val="20"/>
                <w:szCs w:val="20"/>
              </w:rPr>
            </w:pPr>
            <w:r w:rsidRPr="00ED2A47">
              <w:rPr>
                <w:rFonts w:ascii="Arial" w:hAnsi="Arial"/>
                <w:b/>
                <w:bCs/>
                <w:color w:val="000000"/>
                <w:kern w:val="24"/>
                <w:sz w:val="20"/>
                <w:szCs w:val="20"/>
              </w:rPr>
              <w:t>R-Squared:</w:t>
            </w:r>
            <w:r w:rsidRPr="00ED2A47">
              <w:rPr>
                <w:rFonts w:ascii="Arial" w:hAnsi="Arial"/>
                <w:color w:val="000000"/>
                <w:kern w:val="24"/>
                <w:sz w:val="20"/>
                <w:szCs w:val="20"/>
              </w:rPr>
              <w:t xml:space="preserve"> Measures the percentage of a fund’s returns that are explained by the benchmark. Fund passes with an R-squared greater than 95</w:t>
            </w:r>
            <w:r>
              <w:rPr>
                <w:rFonts w:ascii="Arial" w:hAnsi="Arial"/>
                <w:color w:val="000000"/>
                <w:kern w:val="24"/>
                <w:sz w:val="20"/>
                <w:szCs w:val="20"/>
              </w:rPr>
              <w:t xml:space="preserve"> percent</w:t>
            </w:r>
            <w:r w:rsidRPr="00ED2A47">
              <w:rPr>
                <w:rFonts w:ascii="Arial" w:hAnsi="Arial"/>
                <w:color w:val="000000"/>
                <w:kern w:val="24"/>
                <w:sz w:val="20"/>
                <w:szCs w:val="20"/>
              </w:rPr>
              <w:t>. This statistic measures whether the benchmark used in the analysis is appropriate.</w:t>
            </w:r>
          </w:p>
        </w:tc>
        <w:tc>
          <w:tcPr>
            <w:tcW w:w="490" w:type="pct"/>
            <w:shd w:val="clear" w:color="auto" w:fill="385623" w:themeFill="accent6" w:themeFillShade="80"/>
            <w:tcMar>
              <w:top w:w="72" w:type="dxa"/>
              <w:left w:w="72" w:type="dxa"/>
              <w:bottom w:w="72" w:type="dxa"/>
              <w:right w:w="72" w:type="dxa"/>
            </w:tcMar>
            <w:vAlign w:val="center"/>
            <w:hideMark/>
          </w:tcPr>
          <w:p w:rsidR="00155C90" w:rsidRPr="00ED2A47" w:rsidRDefault="00155C90" w:rsidP="00E1721C">
            <w:pPr>
              <w:jc w:val="center"/>
              <w:rPr>
                <w:rFonts w:ascii="Arial" w:hAnsi="Arial" w:cs="Arial"/>
                <w:b/>
                <w:color w:val="FFFFFF"/>
                <w:sz w:val="20"/>
                <w:szCs w:val="20"/>
              </w:rPr>
            </w:pPr>
            <w:r w:rsidRPr="00ED2A47">
              <w:rPr>
                <w:rFonts w:ascii="Arial" w:hAnsi="Arial" w:cs="Arial"/>
                <w:b/>
                <w:color w:val="FFFFFF"/>
                <w:sz w:val="20"/>
                <w:szCs w:val="20"/>
              </w:rPr>
              <w:t>1</w:t>
            </w:r>
          </w:p>
        </w:tc>
      </w:tr>
      <w:tr w:rsidR="00155C90" w:rsidRPr="00ED2A47" w:rsidTr="007C4BCA">
        <w:trPr>
          <w:trHeight w:val="288"/>
          <w:jc w:val="center"/>
        </w:trPr>
        <w:tc>
          <w:tcPr>
            <w:tcW w:w="592" w:type="pct"/>
            <w:vMerge/>
            <w:shd w:val="clear" w:color="auto" w:fill="385623" w:themeFill="accent6" w:themeFillShade="80"/>
            <w:vAlign w:val="center"/>
            <w:hideMark/>
          </w:tcPr>
          <w:p w:rsidR="00155C90" w:rsidRPr="00ED2A47" w:rsidRDefault="00155C90" w:rsidP="00E1721C">
            <w:pPr>
              <w:rPr>
                <w:rFonts w:ascii="Arial" w:hAnsi="Arial" w:cs="Arial"/>
                <w:b/>
                <w:color w:val="FFFFFF"/>
                <w:sz w:val="20"/>
                <w:szCs w:val="20"/>
              </w:rPr>
            </w:pPr>
          </w:p>
        </w:tc>
        <w:tc>
          <w:tcPr>
            <w:tcW w:w="3918" w:type="pct"/>
            <w:shd w:val="clear" w:color="auto" w:fill="auto"/>
            <w:tcMar>
              <w:top w:w="72" w:type="dxa"/>
              <w:left w:w="72" w:type="dxa"/>
              <w:bottom w:w="72" w:type="dxa"/>
              <w:right w:w="72" w:type="dxa"/>
            </w:tcMar>
            <w:hideMark/>
          </w:tcPr>
          <w:p w:rsidR="00155C90" w:rsidRPr="00ED2A47" w:rsidRDefault="00155C90" w:rsidP="00E1721C">
            <w:pPr>
              <w:rPr>
                <w:rFonts w:ascii="Arial" w:hAnsi="Arial" w:cs="Arial"/>
                <w:sz w:val="20"/>
                <w:szCs w:val="20"/>
              </w:rPr>
            </w:pPr>
            <w:r w:rsidRPr="00ED2A47">
              <w:rPr>
                <w:rFonts w:ascii="Arial" w:hAnsi="Arial"/>
                <w:b/>
                <w:bCs/>
                <w:color w:val="000000"/>
                <w:kern w:val="24"/>
                <w:sz w:val="20"/>
                <w:szCs w:val="20"/>
              </w:rPr>
              <w:t>Tracking Error:</w:t>
            </w:r>
            <w:r w:rsidRPr="00ED2A47">
              <w:rPr>
                <w:rFonts w:ascii="Arial" w:hAnsi="Arial"/>
                <w:color w:val="000000"/>
                <w:kern w:val="24"/>
                <w:sz w:val="20"/>
                <w:szCs w:val="20"/>
              </w:rPr>
              <w:t xml:space="preserve"> Measures the percentage of a fund’s excess return volatility relative to the benchmark. Fund passes with a tracking error less than 4. This statistic measures how well the fund tracks the benchmark.</w:t>
            </w:r>
          </w:p>
        </w:tc>
        <w:tc>
          <w:tcPr>
            <w:tcW w:w="490" w:type="pct"/>
            <w:shd w:val="clear" w:color="auto" w:fill="385623" w:themeFill="accent6" w:themeFillShade="80"/>
            <w:vAlign w:val="center"/>
            <w:hideMark/>
          </w:tcPr>
          <w:p w:rsidR="00155C90" w:rsidRPr="00ED2A47" w:rsidRDefault="00155C90" w:rsidP="00E1721C">
            <w:pPr>
              <w:jc w:val="center"/>
              <w:rPr>
                <w:rFonts w:ascii="Arial" w:hAnsi="Arial" w:cs="Arial"/>
                <w:b/>
                <w:color w:val="FFFFFF"/>
                <w:sz w:val="20"/>
                <w:szCs w:val="20"/>
              </w:rPr>
            </w:pPr>
            <w:r w:rsidRPr="00ED2A47">
              <w:rPr>
                <w:rFonts w:ascii="Arial" w:hAnsi="Arial" w:cs="Arial"/>
                <w:b/>
                <w:color w:val="FFFFFF"/>
                <w:sz w:val="20"/>
                <w:szCs w:val="20"/>
              </w:rPr>
              <w:t>1</w:t>
            </w:r>
          </w:p>
        </w:tc>
      </w:tr>
      <w:tr w:rsidR="00155C90" w:rsidRPr="00ED2A47" w:rsidTr="007C4BCA">
        <w:trPr>
          <w:trHeight w:val="288"/>
          <w:jc w:val="center"/>
        </w:trPr>
        <w:tc>
          <w:tcPr>
            <w:tcW w:w="592" w:type="pct"/>
            <w:vMerge w:val="restart"/>
            <w:shd w:val="clear" w:color="auto" w:fill="46712B"/>
            <w:tcMar>
              <w:top w:w="72" w:type="dxa"/>
              <w:left w:w="72" w:type="dxa"/>
              <w:bottom w:w="72" w:type="dxa"/>
              <w:right w:w="72" w:type="dxa"/>
            </w:tcMar>
            <w:vAlign w:val="center"/>
            <w:hideMark/>
          </w:tcPr>
          <w:p w:rsidR="00155C90" w:rsidRPr="00ED2A47" w:rsidRDefault="00155C90" w:rsidP="00E1721C">
            <w:pPr>
              <w:rPr>
                <w:rFonts w:ascii="Arial" w:hAnsi="Arial" w:cs="Arial"/>
                <w:b/>
                <w:color w:val="FFFFFF"/>
                <w:sz w:val="20"/>
                <w:szCs w:val="20"/>
              </w:rPr>
            </w:pPr>
            <w:r w:rsidRPr="00ED2A47">
              <w:rPr>
                <w:rFonts w:ascii="Arial" w:hAnsi="Arial"/>
                <w:b/>
                <w:color w:val="FFFFFF"/>
                <w:kern w:val="24"/>
                <w:sz w:val="20"/>
                <w:szCs w:val="20"/>
              </w:rPr>
              <w:t xml:space="preserve">Peer Group Rankings </w:t>
            </w:r>
          </w:p>
          <w:p w:rsidR="00155C90" w:rsidRPr="00ED2A47" w:rsidRDefault="00155C90" w:rsidP="00E1721C">
            <w:pPr>
              <w:rPr>
                <w:rFonts w:ascii="Arial" w:hAnsi="Arial" w:cs="Arial"/>
                <w:b/>
                <w:color w:val="FFFFFF"/>
                <w:sz w:val="20"/>
                <w:szCs w:val="20"/>
              </w:rPr>
            </w:pPr>
            <w:r w:rsidRPr="00ED2A47">
              <w:rPr>
                <w:rFonts w:ascii="Arial" w:hAnsi="Arial"/>
                <w:b/>
                <w:color w:val="FFFFFF"/>
                <w:kern w:val="24"/>
                <w:sz w:val="20"/>
                <w:szCs w:val="20"/>
              </w:rPr>
              <w:t>40%</w:t>
            </w:r>
          </w:p>
        </w:tc>
        <w:tc>
          <w:tcPr>
            <w:tcW w:w="3918" w:type="pct"/>
            <w:shd w:val="clear" w:color="auto" w:fill="auto"/>
            <w:tcMar>
              <w:top w:w="72" w:type="dxa"/>
              <w:left w:w="72" w:type="dxa"/>
              <w:bottom w:w="72" w:type="dxa"/>
              <w:right w:w="72" w:type="dxa"/>
            </w:tcMar>
            <w:vAlign w:val="center"/>
            <w:hideMark/>
          </w:tcPr>
          <w:p w:rsidR="00155C90" w:rsidRPr="00ED2A47" w:rsidRDefault="00155C90" w:rsidP="00E1721C">
            <w:pPr>
              <w:rPr>
                <w:rFonts w:ascii="Arial" w:hAnsi="Arial" w:cs="Arial"/>
                <w:sz w:val="20"/>
                <w:szCs w:val="20"/>
              </w:rPr>
            </w:pPr>
            <w:r w:rsidRPr="00ED2A47">
              <w:rPr>
                <w:rFonts w:ascii="Arial" w:hAnsi="Arial"/>
                <w:b/>
                <w:bCs/>
                <w:color w:val="000000"/>
                <w:kern w:val="24"/>
                <w:sz w:val="20"/>
                <w:szCs w:val="20"/>
              </w:rPr>
              <w:t>Tracking Error Peer Group Ranking:</w:t>
            </w:r>
            <w:r w:rsidRPr="00ED2A47">
              <w:rPr>
                <w:rFonts w:ascii="Arial" w:hAnsi="Arial"/>
                <w:color w:val="000000"/>
                <w:kern w:val="24"/>
                <w:sz w:val="20"/>
                <w:szCs w:val="20"/>
              </w:rPr>
              <w:t xml:space="preserve"> Fund passes if its median rank is above the 75</w:t>
            </w:r>
            <w:r w:rsidRPr="00ED2A47">
              <w:rPr>
                <w:rFonts w:ascii="Arial" w:hAnsi="Arial"/>
                <w:color w:val="000000"/>
                <w:kern w:val="24"/>
                <w:sz w:val="20"/>
                <w:szCs w:val="20"/>
                <w:vertAlign w:val="superscript"/>
              </w:rPr>
              <w:t>th</w:t>
            </w:r>
            <w:r w:rsidRPr="00ED2A47">
              <w:rPr>
                <w:rFonts w:ascii="Arial" w:hAnsi="Arial"/>
                <w:color w:val="000000"/>
                <w:kern w:val="24"/>
                <w:sz w:val="20"/>
                <w:szCs w:val="20"/>
              </w:rPr>
              <w:t xml:space="preserve"> percentile.</w:t>
            </w:r>
          </w:p>
        </w:tc>
        <w:tc>
          <w:tcPr>
            <w:tcW w:w="490" w:type="pct"/>
            <w:shd w:val="clear" w:color="auto" w:fill="46712B"/>
            <w:tcMar>
              <w:top w:w="72" w:type="dxa"/>
              <w:left w:w="72" w:type="dxa"/>
              <w:bottom w:w="72" w:type="dxa"/>
              <w:right w:w="72" w:type="dxa"/>
            </w:tcMar>
            <w:vAlign w:val="center"/>
            <w:hideMark/>
          </w:tcPr>
          <w:p w:rsidR="00155C90" w:rsidRPr="00ED2A47" w:rsidRDefault="00155C90" w:rsidP="00E1721C">
            <w:pPr>
              <w:jc w:val="center"/>
              <w:rPr>
                <w:rFonts w:ascii="Arial" w:hAnsi="Arial" w:cs="Arial"/>
                <w:b/>
                <w:color w:val="FFFFFF"/>
                <w:sz w:val="20"/>
                <w:szCs w:val="20"/>
              </w:rPr>
            </w:pPr>
            <w:r w:rsidRPr="00ED2A47">
              <w:rPr>
                <w:rFonts w:ascii="Arial" w:hAnsi="Arial" w:cs="Arial"/>
                <w:b/>
                <w:color w:val="FFFFFF"/>
                <w:sz w:val="20"/>
                <w:szCs w:val="20"/>
              </w:rPr>
              <w:t>1</w:t>
            </w:r>
          </w:p>
        </w:tc>
      </w:tr>
      <w:tr w:rsidR="00155C90" w:rsidRPr="00ED2A47" w:rsidTr="007C4BCA">
        <w:trPr>
          <w:trHeight w:val="288"/>
          <w:jc w:val="center"/>
        </w:trPr>
        <w:tc>
          <w:tcPr>
            <w:tcW w:w="592" w:type="pct"/>
            <w:vMerge/>
            <w:shd w:val="clear" w:color="auto" w:fill="46712B"/>
            <w:vAlign w:val="center"/>
            <w:hideMark/>
          </w:tcPr>
          <w:p w:rsidR="00155C90" w:rsidRPr="00ED2A47" w:rsidRDefault="00155C90" w:rsidP="00E1721C">
            <w:pPr>
              <w:rPr>
                <w:rFonts w:ascii="Arial" w:hAnsi="Arial" w:cs="Arial"/>
                <w:b/>
                <w:color w:val="FFFFFF"/>
                <w:sz w:val="20"/>
                <w:szCs w:val="20"/>
              </w:rPr>
            </w:pPr>
          </w:p>
        </w:tc>
        <w:tc>
          <w:tcPr>
            <w:tcW w:w="3918" w:type="pct"/>
            <w:shd w:val="clear" w:color="auto" w:fill="auto"/>
            <w:tcMar>
              <w:top w:w="72" w:type="dxa"/>
              <w:left w:w="72" w:type="dxa"/>
              <w:bottom w:w="72" w:type="dxa"/>
              <w:right w:w="72" w:type="dxa"/>
            </w:tcMar>
            <w:hideMark/>
          </w:tcPr>
          <w:p w:rsidR="00155C90" w:rsidRPr="00ED2A47" w:rsidRDefault="00155C90" w:rsidP="00E1721C">
            <w:pPr>
              <w:spacing w:before="60"/>
              <w:rPr>
                <w:rFonts w:ascii="Arial" w:hAnsi="Arial" w:cs="Arial"/>
                <w:sz w:val="20"/>
                <w:szCs w:val="20"/>
              </w:rPr>
            </w:pPr>
            <w:r w:rsidRPr="00ED2A47">
              <w:rPr>
                <w:rFonts w:ascii="Arial" w:hAnsi="Arial"/>
                <w:b/>
                <w:bCs/>
                <w:color w:val="000000"/>
                <w:kern w:val="24"/>
                <w:sz w:val="20"/>
                <w:szCs w:val="20"/>
              </w:rPr>
              <w:t>Expense Ratio Peer Group Ranking:</w:t>
            </w:r>
            <w:r w:rsidRPr="00ED2A47">
              <w:rPr>
                <w:rFonts w:ascii="Arial" w:hAnsi="Arial"/>
                <w:color w:val="000000"/>
                <w:kern w:val="24"/>
                <w:sz w:val="20"/>
                <w:szCs w:val="20"/>
              </w:rPr>
              <w:t xml:space="preserve"> Fund passes if its median rank is above the 75</w:t>
            </w:r>
            <w:r w:rsidRPr="00ED2A47">
              <w:rPr>
                <w:rFonts w:ascii="Arial" w:hAnsi="Arial"/>
                <w:color w:val="000000"/>
                <w:kern w:val="24"/>
                <w:sz w:val="20"/>
                <w:szCs w:val="20"/>
                <w:vertAlign w:val="superscript"/>
              </w:rPr>
              <w:t>th</w:t>
            </w:r>
            <w:r w:rsidRPr="00ED2A47">
              <w:rPr>
                <w:rFonts w:ascii="Arial" w:hAnsi="Arial"/>
                <w:color w:val="000000"/>
                <w:kern w:val="24"/>
                <w:sz w:val="20"/>
                <w:szCs w:val="20"/>
              </w:rPr>
              <w:t xml:space="preserve"> percentile.</w:t>
            </w:r>
          </w:p>
        </w:tc>
        <w:tc>
          <w:tcPr>
            <w:tcW w:w="490" w:type="pct"/>
            <w:shd w:val="clear" w:color="auto" w:fill="46712B"/>
            <w:vAlign w:val="center"/>
            <w:hideMark/>
          </w:tcPr>
          <w:p w:rsidR="00155C90" w:rsidRPr="00ED2A47" w:rsidRDefault="00155C90" w:rsidP="00E1721C">
            <w:pPr>
              <w:jc w:val="center"/>
              <w:rPr>
                <w:rFonts w:ascii="Arial" w:hAnsi="Arial" w:cs="Arial"/>
                <w:b/>
                <w:color w:val="FFFFFF"/>
                <w:sz w:val="20"/>
                <w:szCs w:val="20"/>
              </w:rPr>
            </w:pPr>
            <w:r w:rsidRPr="00ED2A47">
              <w:rPr>
                <w:rFonts w:ascii="Arial" w:hAnsi="Arial" w:cs="Arial"/>
                <w:b/>
                <w:color w:val="FFFFFF"/>
                <w:sz w:val="20"/>
                <w:szCs w:val="20"/>
              </w:rPr>
              <w:t>1</w:t>
            </w:r>
          </w:p>
        </w:tc>
      </w:tr>
      <w:tr w:rsidR="00155C90" w:rsidRPr="00ED2A47" w:rsidTr="007C4BCA">
        <w:trPr>
          <w:trHeight w:val="288"/>
          <w:jc w:val="center"/>
        </w:trPr>
        <w:tc>
          <w:tcPr>
            <w:tcW w:w="592" w:type="pct"/>
            <w:vMerge/>
            <w:shd w:val="clear" w:color="auto" w:fill="46712B"/>
            <w:vAlign w:val="center"/>
            <w:hideMark/>
          </w:tcPr>
          <w:p w:rsidR="00155C90" w:rsidRPr="00ED2A47" w:rsidRDefault="00155C90" w:rsidP="00E1721C">
            <w:pPr>
              <w:rPr>
                <w:rFonts w:ascii="Arial" w:hAnsi="Arial" w:cs="Arial"/>
                <w:b/>
                <w:color w:val="FFFFFF"/>
                <w:sz w:val="20"/>
                <w:szCs w:val="20"/>
              </w:rPr>
            </w:pPr>
          </w:p>
        </w:tc>
        <w:tc>
          <w:tcPr>
            <w:tcW w:w="3918" w:type="pct"/>
            <w:shd w:val="clear" w:color="auto" w:fill="auto"/>
            <w:tcMar>
              <w:top w:w="72" w:type="dxa"/>
              <w:left w:w="72" w:type="dxa"/>
              <w:bottom w:w="72" w:type="dxa"/>
              <w:right w:w="72" w:type="dxa"/>
            </w:tcMar>
            <w:hideMark/>
          </w:tcPr>
          <w:p w:rsidR="00155C90" w:rsidRPr="00ED2A47" w:rsidRDefault="00155C90" w:rsidP="00E1721C">
            <w:pPr>
              <w:spacing w:before="60"/>
              <w:rPr>
                <w:rFonts w:ascii="Arial" w:hAnsi="Arial" w:cs="Arial"/>
                <w:sz w:val="20"/>
                <w:szCs w:val="20"/>
              </w:rPr>
            </w:pPr>
            <w:r w:rsidRPr="00ED2A47">
              <w:rPr>
                <w:rFonts w:ascii="Arial" w:hAnsi="Arial"/>
                <w:b/>
                <w:bCs/>
                <w:color w:val="000000"/>
                <w:kern w:val="24"/>
                <w:sz w:val="20"/>
                <w:szCs w:val="20"/>
              </w:rPr>
              <w:t>Returns Peer Group Ranking:</w:t>
            </w:r>
            <w:r w:rsidRPr="00ED2A47">
              <w:rPr>
                <w:rFonts w:ascii="Arial" w:hAnsi="Arial"/>
                <w:color w:val="000000"/>
                <w:kern w:val="24"/>
                <w:sz w:val="20"/>
                <w:szCs w:val="20"/>
              </w:rPr>
              <w:t xml:space="preserve"> Fund passes if its median rank is above the 75</w:t>
            </w:r>
            <w:r w:rsidRPr="00ED2A47">
              <w:rPr>
                <w:rFonts w:ascii="Arial" w:hAnsi="Arial"/>
                <w:color w:val="000000"/>
                <w:kern w:val="24"/>
                <w:sz w:val="20"/>
                <w:szCs w:val="20"/>
                <w:vertAlign w:val="superscript"/>
              </w:rPr>
              <w:t>th</w:t>
            </w:r>
            <w:r w:rsidRPr="00ED2A47">
              <w:rPr>
                <w:rFonts w:ascii="Arial" w:hAnsi="Arial"/>
                <w:color w:val="000000"/>
                <w:kern w:val="24"/>
                <w:sz w:val="20"/>
                <w:szCs w:val="20"/>
              </w:rPr>
              <w:t xml:space="preserve"> percentile.</w:t>
            </w:r>
          </w:p>
        </w:tc>
        <w:tc>
          <w:tcPr>
            <w:tcW w:w="490" w:type="pct"/>
            <w:shd w:val="clear" w:color="auto" w:fill="46712B"/>
            <w:tcMar>
              <w:top w:w="72" w:type="dxa"/>
              <w:left w:w="72" w:type="dxa"/>
              <w:bottom w:w="72" w:type="dxa"/>
              <w:right w:w="72" w:type="dxa"/>
            </w:tcMar>
            <w:vAlign w:val="center"/>
            <w:hideMark/>
          </w:tcPr>
          <w:p w:rsidR="00155C90" w:rsidRPr="00ED2A47" w:rsidRDefault="00155C90" w:rsidP="00E1721C">
            <w:pPr>
              <w:jc w:val="center"/>
              <w:rPr>
                <w:rFonts w:ascii="Arial" w:hAnsi="Arial" w:cs="Arial"/>
                <w:b/>
                <w:color w:val="FFFFFF"/>
                <w:sz w:val="20"/>
                <w:szCs w:val="20"/>
              </w:rPr>
            </w:pPr>
            <w:r w:rsidRPr="00ED2A47">
              <w:rPr>
                <w:rFonts w:ascii="Arial" w:hAnsi="Arial" w:cs="Arial"/>
                <w:b/>
                <w:color w:val="FFFFFF"/>
                <w:sz w:val="20"/>
                <w:szCs w:val="20"/>
              </w:rPr>
              <w:t>1</w:t>
            </w:r>
          </w:p>
        </w:tc>
      </w:tr>
      <w:tr w:rsidR="00155C90" w:rsidRPr="00ED2A47" w:rsidTr="007C4BCA">
        <w:trPr>
          <w:trHeight w:val="288"/>
          <w:jc w:val="center"/>
        </w:trPr>
        <w:tc>
          <w:tcPr>
            <w:tcW w:w="592" w:type="pct"/>
            <w:vMerge/>
            <w:shd w:val="clear" w:color="auto" w:fill="46712B"/>
            <w:vAlign w:val="center"/>
            <w:hideMark/>
          </w:tcPr>
          <w:p w:rsidR="00155C90" w:rsidRPr="00ED2A47" w:rsidRDefault="00155C90" w:rsidP="00E1721C">
            <w:pPr>
              <w:rPr>
                <w:rFonts w:ascii="Arial" w:hAnsi="Arial" w:cs="Arial"/>
                <w:b/>
                <w:color w:val="FFFFFF"/>
                <w:sz w:val="20"/>
                <w:szCs w:val="20"/>
              </w:rPr>
            </w:pPr>
          </w:p>
        </w:tc>
        <w:tc>
          <w:tcPr>
            <w:tcW w:w="3918" w:type="pct"/>
            <w:shd w:val="clear" w:color="auto" w:fill="auto"/>
            <w:tcMar>
              <w:top w:w="72" w:type="dxa"/>
              <w:left w:w="72" w:type="dxa"/>
              <w:bottom w:w="72" w:type="dxa"/>
              <w:right w:w="72" w:type="dxa"/>
            </w:tcMar>
            <w:hideMark/>
          </w:tcPr>
          <w:p w:rsidR="00155C90" w:rsidRPr="00ED2A47" w:rsidRDefault="00155C90" w:rsidP="00E1721C">
            <w:pPr>
              <w:rPr>
                <w:rFonts w:ascii="Arial" w:hAnsi="Arial" w:cs="Arial"/>
                <w:sz w:val="20"/>
                <w:szCs w:val="20"/>
              </w:rPr>
            </w:pPr>
            <w:r w:rsidRPr="00ED2A47">
              <w:rPr>
                <w:rFonts w:ascii="Arial" w:hAnsi="Arial"/>
                <w:b/>
                <w:bCs/>
                <w:color w:val="000000"/>
                <w:kern w:val="24"/>
                <w:sz w:val="20"/>
                <w:szCs w:val="20"/>
              </w:rPr>
              <w:t>Sharpe Ratio Peer Group Ranking:</w:t>
            </w:r>
            <w:r w:rsidRPr="00ED2A47">
              <w:rPr>
                <w:rFonts w:ascii="Arial" w:hAnsi="Arial"/>
                <w:color w:val="000000"/>
                <w:kern w:val="24"/>
                <w:sz w:val="20"/>
                <w:szCs w:val="20"/>
              </w:rPr>
              <w:t xml:space="preserve"> Fund passes if its median rank is above the 75</w:t>
            </w:r>
            <w:r w:rsidRPr="00ED2A47">
              <w:rPr>
                <w:rFonts w:ascii="Arial" w:hAnsi="Arial"/>
                <w:color w:val="000000"/>
                <w:kern w:val="24"/>
                <w:sz w:val="20"/>
                <w:szCs w:val="20"/>
                <w:vertAlign w:val="superscript"/>
              </w:rPr>
              <w:t>th</w:t>
            </w:r>
            <w:r w:rsidRPr="00ED2A47">
              <w:rPr>
                <w:rFonts w:ascii="Arial" w:hAnsi="Arial"/>
                <w:color w:val="000000"/>
                <w:kern w:val="24"/>
                <w:sz w:val="20"/>
                <w:szCs w:val="20"/>
              </w:rPr>
              <w:t xml:space="preserve"> percentile.</w:t>
            </w:r>
          </w:p>
        </w:tc>
        <w:tc>
          <w:tcPr>
            <w:tcW w:w="490" w:type="pct"/>
            <w:shd w:val="clear" w:color="auto" w:fill="46712B"/>
            <w:vAlign w:val="center"/>
            <w:hideMark/>
          </w:tcPr>
          <w:p w:rsidR="00155C90" w:rsidRPr="00ED2A47" w:rsidRDefault="00155C90" w:rsidP="00E1721C">
            <w:pPr>
              <w:jc w:val="center"/>
              <w:rPr>
                <w:rFonts w:ascii="Arial" w:hAnsi="Arial" w:cs="Arial"/>
                <w:b/>
                <w:color w:val="FFFFFF"/>
                <w:sz w:val="20"/>
                <w:szCs w:val="20"/>
              </w:rPr>
            </w:pPr>
            <w:r w:rsidRPr="00ED2A47">
              <w:rPr>
                <w:rFonts w:ascii="Arial" w:hAnsi="Arial" w:cs="Arial"/>
                <w:b/>
                <w:color w:val="FFFFFF"/>
                <w:sz w:val="20"/>
                <w:szCs w:val="20"/>
              </w:rPr>
              <w:t>1</w:t>
            </w:r>
          </w:p>
        </w:tc>
      </w:tr>
      <w:tr w:rsidR="00155C90" w:rsidRPr="00ED2A47" w:rsidTr="007C4BCA">
        <w:trPr>
          <w:trHeight w:val="780"/>
          <w:jc w:val="center"/>
        </w:trPr>
        <w:tc>
          <w:tcPr>
            <w:tcW w:w="592" w:type="pct"/>
            <w:shd w:val="clear" w:color="auto" w:fill="4F9237"/>
            <w:tcMar>
              <w:top w:w="72" w:type="dxa"/>
              <w:left w:w="72" w:type="dxa"/>
              <w:bottom w:w="72" w:type="dxa"/>
              <w:right w:w="72" w:type="dxa"/>
            </w:tcMar>
            <w:vAlign w:val="center"/>
            <w:hideMark/>
          </w:tcPr>
          <w:p w:rsidR="00155C90" w:rsidRPr="00ED2A47" w:rsidRDefault="00155C90" w:rsidP="00E1721C">
            <w:pPr>
              <w:rPr>
                <w:rFonts w:ascii="Arial" w:hAnsi="Arial" w:cs="Arial"/>
                <w:b/>
                <w:color w:val="FFFFFF"/>
                <w:sz w:val="20"/>
                <w:szCs w:val="20"/>
              </w:rPr>
            </w:pPr>
            <w:r w:rsidRPr="00ED2A47">
              <w:rPr>
                <w:rFonts w:ascii="Arial" w:hAnsi="Arial"/>
                <w:b/>
                <w:color w:val="FFFFFF"/>
                <w:kern w:val="24"/>
                <w:sz w:val="20"/>
                <w:szCs w:val="20"/>
              </w:rPr>
              <w:t xml:space="preserve">Qualitative Factors </w:t>
            </w:r>
          </w:p>
          <w:p w:rsidR="00155C90" w:rsidRPr="00ED2A47" w:rsidRDefault="00155C90" w:rsidP="00E1721C">
            <w:pPr>
              <w:rPr>
                <w:rFonts w:ascii="Arial" w:hAnsi="Arial" w:cs="Arial"/>
                <w:b/>
                <w:color w:val="FFFFFF"/>
                <w:sz w:val="20"/>
                <w:szCs w:val="20"/>
              </w:rPr>
            </w:pPr>
            <w:r w:rsidRPr="00ED2A47">
              <w:rPr>
                <w:rFonts w:ascii="Arial" w:hAnsi="Arial"/>
                <w:b/>
                <w:color w:val="FFFFFF"/>
                <w:kern w:val="24"/>
                <w:sz w:val="20"/>
                <w:szCs w:val="20"/>
              </w:rPr>
              <w:t>20%</w:t>
            </w:r>
          </w:p>
        </w:tc>
        <w:tc>
          <w:tcPr>
            <w:tcW w:w="3918" w:type="pct"/>
            <w:shd w:val="clear" w:color="auto" w:fill="auto"/>
            <w:tcMar>
              <w:top w:w="72" w:type="dxa"/>
              <w:left w:w="72" w:type="dxa"/>
              <w:bottom w:w="72" w:type="dxa"/>
              <w:right w:w="72" w:type="dxa"/>
            </w:tcMar>
            <w:vAlign w:val="center"/>
            <w:hideMark/>
          </w:tcPr>
          <w:p w:rsidR="00155C90" w:rsidRPr="00ED2A47" w:rsidRDefault="00155C90" w:rsidP="00E1721C">
            <w:pPr>
              <w:rPr>
                <w:rFonts w:ascii="Arial" w:hAnsi="Arial" w:cs="Arial"/>
                <w:sz w:val="20"/>
                <w:szCs w:val="20"/>
              </w:rPr>
            </w:pPr>
            <w:r w:rsidRPr="00ED2A47">
              <w:rPr>
                <w:rFonts w:ascii="Arial" w:hAnsi="Arial"/>
                <w:color w:val="000000"/>
                <w:kern w:val="24"/>
                <w:sz w:val="20"/>
                <w:szCs w:val="20"/>
              </w:rPr>
              <w:t>Two points may be awarded based on qualitative characteristics of the fund. Primary considerations are given to fund expenses and strength of statistics, however, other significant factors may be considered.</w:t>
            </w:r>
            <w:r>
              <w:rPr>
                <w:rFonts w:ascii="Arial" w:hAnsi="Arial" w:cs="Arial"/>
                <w:sz w:val="20"/>
                <w:szCs w:val="20"/>
              </w:rPr>
              <w:t xml:space="preserve"> </w:t>
            </w:r>
            <w:r w:rsidRPr="00ED2A47">
              <w:rPr>
                <w:rFonts w:ascii="Arial" w:hAnsi="Arial"/>
                <w:color w:val="000000"/>
                <w:kern w:val="24"/>
                <w:sz w:val="20"/>
                <w:szCs w:val="20"/>
              </w:rPr>
              <w:t>It is imp</w:t>
            </w:r>
            <w:r w:rsidR="00157BA0">
              <w:rPr>
                <w:rFonts w:ascii="Arial" w:hAnsi="Arial"/>
                <w:color w:val="000000"/>
                <w:kern w:val="24"/>
                <w:sz w:val="20"/>
                <w:szCs w:val="20"/>
              </w:rPr>
              <w:t>ortant to take into account non</w:t>
            </w:r>
            <w:r w:rsidRPr="00ED2A47">
              <w:rPr>
                <w:rFonts w:ascii="Arial" w:hAnsi="Arial"/>
                <w:color w:val="000000"/>
                <w:kern w:val="24"/>
                <w:sz w:val="20"/>
                <w:szCs w:val="20"/>
              </w:rPr>
              <w:t>quantitative factors, which may impact future performance.</w:t>
            </w:r>
          </w:p>
        </w:tc>
        <w:tc>
          <w:tcPr>
            <w:tcW w:w="490" w:type="pct"/>
            <w:shd w:val="clear" w:color="auto" w:fill="4F9237"/>
            <w:tcMar>
              <w:top w:w="72" w:type="dxa"/>
              <w:left w:w="72" w:type="dxa"/>
              <w:bottom w:w="72" w:type="dxa"/>
              <w:right w:w="72" w:type="dxa"/>
            </w:tcMar>
            <w:vAlign w:val="center"/>
            <w:hideMark/>
          </w:tcPr>
          <w:p w:rsidR="00155C90" w:rsidRPr="00ED2A47" w:rsidRDefault="00155C90" w:rsidP="00E1721C">
            <w:pPr>
              <w:jc w:val="center"/>
              <w:rPr>
                <w:rFonts w:ascii="Arial" w:hAnsi="Arial" w:cs="Arial"/>
                <w:b/>
                <w:color w:val="FFFFFF"/>
                <w:sz w:val="20"/>
                <w:szCs w:val="20"/>
              </w:rPr>
            </w:pPr>
            <w:r w:rsidRPr="00ED2A47">
              <w:rPr>
                <w:rFonts w:ascii="Arial" w:hAnsi="Arial"/>
                <w:b/>
                <w:color w:val="FFFFFF"/>
                <w:kern w:val="24"/>
                <w:sz w:val="20"/>
                <w:szCs w:val="20"/>
              </w:rPr>
              <w:t>2</w:t>
            </w:r>
          </w:p>
        </w:tc>
      </w:tr>
      <w:tr w:rsidR="00155C90" w:rsidRPr="00ED2A47" w:rsidTr="00E1721C">
        <w:trPr>
          <w:trHeight w:val="180"/>
          <w:jc w:val="center"/>
        </w:trPr>
        <w:tc>
          <w:tcPr>
            <w:tcW w:w="592" w:type="pct"/>
            <w:shd w:val="clear" w:color="auto" w:fill="7F7F7F" w:themeFill="text1" w:themeFillTint="80"/>
            <w:tcMar>
              <w:top w:w="72" w:type="dxa"/>
              <w:left w:w="72" w:type="dxa"/>
              <w:bottom w:w="72" w:type="dxa"/>
              <w:right w:w="72" w:type="dxa"/>
            </w:tcMar>
            <w:vAlign w:val="center"/>
            <w:hideMark/>
          </w:tcPr>
          <w:p w:rsidR="00155C90" w:rsidRPr="00ED2A47" w:rsidRDefault="00155C90" w:rsidP="00E1721C">
            <w:pPr>
              <w:rPr>
                <w:rFonts w:ascii="Arial" w:hAnsi="Arial" w:cs="Arial"/>
                <w:color w:val="FFFFFF" w:themeColor="background1"/>
                <w:sz w:val="20"/>
                <w:szCs w:val="20"/>
              </w:rPr>
            </w:pPr>
          </w:p>
        </w:tc>
        <w:tc>
          <w:tcPr>
            <w:tcW w:w="3918" w:type="pct"/>
            <w:shd w:val="clear" w:color="auto" w:fill="7F7F7F" w:themeFill="text1" w:themeFillTint="80"/>
            <w:tcMar>
              <w:top w:w="72" w:type="dxa"/>
              <w:left w:w="72" w:type="dxa"/>
              <w:bottom w:w="72" w:type="dxa"/>
              <w:right w:w="72" w:type="dxa"/>
            </w:tcMar>
            <w:vAlign w:val="center"/>
            <w:hideMark/>
          </w:tcPr>
          <w:p w:rsidR="00155C90" w:rsidRPr="00ED2A47" w:rsidRDefault="00155C90" w:rsidP="00E1721C">
            <w:pPr>
              <w:jc w:val="right"/>
              <w:rPr>
                <w:rFonts w:ascii="Arial" w:hAnsi="Arial" w:cs="Arial"/>
                <w:color w:val="FFFFFF" w:themeColor="background1"/>
                <w:sz w:val="20"/>
                <w:szCs w:val="20"/>
              </w:rPr>
            </w:pPr>
            <w:r w:rsidRPr="00ED2A47">
              <w:rPr>
                <w:rFonts w:ascii="Arial" w:hAnsi="Arial"/>
                <w:b/>
                <w:bCs/>
                <w:color w:val="FFFFFF" w:themeColor="background1"/>
                <w:kern w:val="24"/>
                <w:sz w:val="20"/>
                <w:szCs w:val="20"/>
              </w:rPr>
              <w:t>Total</w:t>
            </w:r>
          </w:p>
        </w:tc>
        <w:tc>
          <w:tcPr>
            <w:tcW w:w="490" w:type="pct"/>
            <w:shd w:val="clear" w:color="auto" w:fill="7F7F7F" w:themeFill="text1" w:themeFillTint="80"/>
            <w:tcMar>
              <w:top w:w="72" w:type="dxa"/>
              <w:left w:w="72" w:type="dxa"/>
              <w:bottom w:w="72" w:type="dxa"/>
              <w:right w:w="72" w:type="dxa"/>
            </w:tcMar>
            <w:vAlign w:val="center"/>
            <w:hideMark/>
          </w:tcPr>
          <w:p w:rsidR="00155C90" w:rsidRPr="00ED2A47" w:rsidRDefault="00155C90" w:rsidP="00E1721C">
            <w:pPr>
              <w:jc w:val="center"/>
              <w:rPr>
                <w:rFonts w:ascii="Arial" w:hAnsi="Arial" w:cs="Arial"/>
                <w:color w:val="FFFFFF" w:themeColor="background1"/>
                <w:sz w:val="20"/>
                <w:szCs w:val="20"/>
              </w:rPr>
            </w:pPr>
            <w:r w:rsidRPr="00ED2A47">
              <w:rPr>
                <w:rFonts w:ascii="Arial" w:hAnsi="Arial"/>
                <w:b/>
                <w:bCs/>
                <w:color w:val="FFFFFF" w:themeColor="background1"/>
                <w:kern w:val="24"/>
                <w:sz w:val="20"/>
                <w:szCs w:val="20"/>
              </w:rPr>
              <w:t>10</w:t>
            </w:r>
          </w:p>
        </w:tc>
      </w:tr>
    </w:tbl>
    <w:p w:rsidR="00155C90" w:rsidRPr="00791C1F" w:rsidRDefault="00155C90" w:rsidP="00155C90">
      <w:pPr>
        <w:outlineLvl w:val="0"/>
        <w:rPr>
          <w:rFonts w:ascii="Arial" w:hAnsi="Arial" w:cs="Arial"/>
        </w:rPr>
      </w:pPr>
    </w:p>
    <w:p w:rsidR="00155C90" w:rsidRDefault="00155C90" w:rsidP="00155C90">
      <w:pPr>
        <w:rPr>
          <w:rFonts w:ascii="Arial" w:hAnsi="Arial" w:cs="Arial"/>
          <w:i/>
          <w:sz w:val="32"/>
          <w:szCs w:val="32"/>
        </w:rPr>
      </w:pPr>
    </w:p>
    <w:p w:rsidR="00155C90" w:rsidRDefault="00155C90" w:rsidP="00155C90">
      <w:pPr>
        <w:rPr>
          <w:rFonts w:ascii="Arial" w:hAnsi="Arial" w:cs="Arial"/>
          <w:i/>
          <w:sz w:val="32"/>
          <w:szCs w:val="32"/>
        </w:rPr>
      </w:pPr>
    </w:p>
    <w:p w:rsidR="00155C90" w:rsidRDefault="00155C90" w:rsidP="00155C90">
      <w:pPr>
        <w:rPr>
          <w:rFonts w:ascii="Arial" w:hAnsi="Arial" w:cs="Arial"/>
          <w:b/>
          <w:sz w:val="36"/>
          <w:szCs w:val="32"/>
        </w:rPr>
      </w:pPr>
    </w:p>
    <w:p w:rsidR="00155C90" w:rsidRPr="005F27E3" w:rsidRDefault="00155C90" w:rsidP="00155C90">
      <w:pPr>
        <w:rPr>
          <w:rFonts w:ascii="Arial" w:hAnsi="Arial" w:cs="Arial"/>
          <w:i/>
          <w:sz w:val="32"/>
          <w:szCs w:val="32"/>
        </w:rPr>
      </w:pPr>
      <w:r>
        <w:rPr>
          <w:rFonts w:ascii="Arial" w:hAnsi="Arial" w:cs="Arial"/>
          <w:b/>
          <w:sz w:val="36"/>
          <w:szCs w:val="32"/>
        </w:rPr>
        <w:lastRenderedPageBreak/>
        <w:t>Manager Research Methodology</w:t>
      </w:r>
      <w:r>
        <w:rPr>
          <w:rFonts w:ascii="Arial" w:hAnsi="Arial" w:cs="Arial"/>
          <w:b/>
          <w:sz w:val="36"/>
          <w:szCs w:val="32"/>
        </w:rPr>
        <w:tab/>
      </w:r>
      <w:r>
        <w:rPr>
          <w:rFonts w:ascii="Arial" w:hAnsi="Arial" w:cs="Arial"/>
          <w:b/>
          <w:sz w:val="36"/>
          <w:szCs w:val="32"/>
        </w:rPr>
        <w:tab/>
        <w:t xml:space="preserve">  </w:t>
      </w:r>
      <w:r>
        <w:rPr>
          <w:rFonts w:ascii="Arial" w:hAnsi="Arial" w:cs="Arial"/>
          <w:b/>
          <w:sz w:val="36"/>
          <w:szCs w:val="32"/>
        </w:rPr>
        <w:tab/>
        <w:t xml:space="preserve">    </w:t>
      </w:r>
      <w:r>
        <w:rPr>
          <w:rFonts w:ascii="Arial" w:hAnsi="Arial" w:cs="Arial"/>
          <w:b/>
          <w:sz w:val="36"/>
          <w:szCs w:val="32"/>
        </w:rPr>
        <w:tab/>
      </w:r>
    </w:p>
    <w:p w:rsidR="00155C90" w:rsidRPr="00F33818" w:rsidRDefault="00155C90" w:rsidP="00155C90">
      <w:pPr>
        <w:rPr>
          <w:rFonts w:ascii="Arial" w:hAnsi="Arial" w:cs="Arial"/>
          <w:i/>
          <w:color w:val="44546A" w:themeColor="text2"/>
          <w:sz w:val="32"/>
          <w:szCs w:val="32"/>
        </w:rPr>
      </w:pPr>
      <w:r>
        <w:rPr>
          <w:rFonts w:ascii="Arial" w:hAnsi="Arial" w:cs="Arial"/>
          <w:i/>
          <w:color w:val="44546A" w:themeColor="text2"/>
          <w:sz w:val="32"/>
          <w:szCs w:val="32"/>
        </w:rPr>
        <w:t>Beyond the Scorecard</w:t>
      </w:r>
    </w:p>
    <w:p w:rsidR="00155C90" w:rsidRPr="00D1564F" w:rsidRDefault="00155C90" w:rsidP="00155C90">
      <w:pPr>
        <w:outlineLvl w:val="0"/>
        <w:rPr>
          <w:rFonts w:ascii="Arial" w:hAnsi="Arial" w:cs="Arial"/>
          <w:sz w:val="36"/>
          <w:szCs w:val="32"/>
        </w:rPr>
      </w:pPr>
    </w:p>
    <w:p w:rsidR="00155C90" w:rsidRPr="00ED2A47" w:rsidRDefault="00155C90" w:rsidP="00155C90">
      <w:pPr>
        <w:outlineLvl w:val="0"/>
        <w:rPr>
          <w:rFonts w:ascii="Arial" w:hAnsi="Arial" w:cs="Arial"/>
          <w:bCs/>
          <w:sz w:val="20"/>
          <w:szCs w:val="20"/>
        </w:rPr>
      </w:pPr>
      <w:r w:rsidRPr="00ED2A47">
        <w:rPr>
          <w:rFonts w:ascii="Arial" w:hAnsi="Arial" w:cs="Arial"/>
          <w:sz w:val="20"/>
          <w:szCs w:val="20"/>
        </w:rPr>
        <w:t xml:space="preserve">The </w:t>
      </w:r>
      <w:r w:rsidRPr="00ED2A47">
        <w:rPr>
          <w:rFonts w:ascii="Arial" w:hAnsi="Arial" w:cs="Arial"/>
          <w:b/>
          <w:sz w:val="20"/>
          <w:szCs w:val="20"/>
        </w:rPr>
        <w:t>Scorecard System™</w:t>
      </w:r>
      <w:r w:rsidRPr="00ED2A47">
        <w:rPr>
          <w:rFonts w:ascii="Arial" w:hAnsi="Arial" w:cs="Arial"/>
          <w:sz w:val="20"/>
          <w:szCs w:val="20"/>
        </w:rPr>
        <w:t xml:space="preserve"> uses an institutional approach which is comprehensive, independent, and utilizes a process and methodology that creates successful outcomes for </w:t>
      </w:r>
      <w:r>
        <w:rPr>
          <w:rFonts w:ascii="Arial" w:hAnsi="Arial" w:cs="Arial"/>
          <w:sz w:val="20"/>
          <w:szCs w:val="20"/>
        </w:rPr>
        <w:t>plan</w:t>
      </w:r>
      <w:r w:rsidRPr="00ED2A47">
        <w:rPr>
          <w:rFonts w:ascii="Arial" w:hAnsi="Arial" w:cs="Arial"/>
          <w:sz w:val="20"/>
          <w:szCs w:val="20"/>
        </w:rPr>
        <w:t xml:space="preserve"> sponsors and participants. The</w:t>
      </w:r>
      <w:r w:rsidRPr="00ED2A47">
        <w:rPr>
          <w:rFonts w:ascii="Arial" w:hAnsi="Arial" w:cs="Arial"/>
          <w:bCs/>
          <w:sz w:val="20"/>
          <w:szCs w:val="20"/>
        </w:rPr>
        <w:t xml:space="preserve"> </w:t>
      </w:r>
      <w:r w:rsidRPr="00ED2A47">
        <w:rPr>
          <w:rFonts w:ascii="Arial" w:hAnsi="Arial" w:cs="Arial"/>
          <w:b/>
          <w:bCs/>
          <w:sz w:val="20"/>
          <w:szCs w:val="20"/>
        </w:rPr>
        <w:t>Scorecard</w:t>
      </w:r>
      <w:r w:rsidRPr="00ED2A47">
        <w:rPr>
          <w:rFonts w:ascii="Arial" w:hAnsi="Arial" w:cs="Arial"/>
          <w:bCs/>
          <w:sz w:val="20"/>
          <w:szCs w:val="20"/>
        </w:rPr>
        <w:t xml:space="preserve"> helps direct the additiona</w:t>
      </w:r>
      <w:r>
        <w:rPr>
          <w:rFonts w:ascii="Arial" w:hAnsi="Arial" w:cs="Arial"/>
          <w:bCs/>
          <w:sz w:val="20"/>
          <w:szCs w:val="20"/>
        </w:rPr>
        <w:t>l research the Investment t</w:t>
      </w:r>
      <w:r w:rsidRPr="00ED2A47">
        <w:rPr>
          <w:rFonts w:ascii="Arial" w:hAnsi="Arial" w:cs="Arial"/>
          <w:bCs/>
          <w:sz w:val="20"/>
          <w:szCs w:val="20"/>
        </w:rPr>
        <w:t>eam conducts with fund managers throughout the year. Three of the primary factors that go into the fund manager research are people, process and philosophy.</w:t>
      </w:r>
    </w:p>
    <w:p w:rsidR="00155C90" w:rsidRDefault="00155C90" w:rsidP="00155C90">
      <w:pPr>
        <w:outlineLvl w:val="0"/>
        <w:rPr>
          <w:rFonts w:ascii="Arial" w:hAnsi="Arial" w:cs="Arial"/>
          <w:bCs/>
          <w:sz w:val="22"/>
          <w:szCs w:val="22"/>
        </w:rPr>
      </w:pPr>
    </w:p>
    <w:p w:rsidR="00155C90" w:rsidRDefault="00155C90" w:rsidP="00155C90">
      <w:pPr>
        <w:outlineLvl w:val="0"/>
        <w:rPr>
          <w:rFonts w:ascii="Arial" w:hAnsi="Arial" w:cs="Arial"/>
          <w:bCs/>
          <w:sz w:val="22"/>
          <w:szCs w:val="22"/>
        </w:rPr>
      </w:pPr>
    </w:p>
    <w:p w:rsidR="00155C90" w:rsidRDefault="00155C90" w:rsidP="00155C90">
      <w:pPr>
        <w:outlineLvl w:val="0"/>
        <w:rPr>
          <w:rFonts w:ascii="Arial" w:hAnsi="Arial" w:cs="Arial"/>
          <w:bCs/>
          <w:sz w:val="22"/>
          <w:szCs w:val="22"/>
        </w:rPr>
      </w:pPr>
      <w:r>
        <w:rPr>
          <w:rFonts w:ascii="Arial" w:hAnsi="Arial" w:cs="Arial"/>
          <w:b/>
          <w:noProof/>
          <w:color w:val="FFFFFF" w:themeColor="background1"/>
          <w:sz w:val="32"/>
          <w:szCs w:val="32"/>
        </w:rPr>
        <mc:AlternateContent>
          <mc:Choice Requires="wpg">
            <w:drawing>
              <wp:anchor distT="0" distB="0" distL="114300" distR="114300" simplePos="0" relativeHeight="251659264" behindDoc="0" locked="0" layoutInCell="1" allowOverlap="1" wp14:anchorId="3B06493A" wp14:editId="7B3412C1">
                <wp:simplePos x="0" y="0"/>
                <wp:positionH relativeFrom="column">
                  <wp:posOffset>-313055</wp:posOffset>
                </wp:positionH>
                <wp:positionV relativeFrom="paragraph">
                  <wp:posOffset>113665</wp:posOffset>
                </wp:positionV>
                <wp:extent cx="6804660" cy="2998470"/>
                <wp:effectExtent l="1270" t="0" r="4445" b="254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660" cy="2998470"/>
                          <a:chOff x="402" y="4169"/>
                          <a:chExt cx="10716" cy="4722"/>
                        </a:xfrm>
                      </wpg:grpSpPr>
                      <wps:wsp>
                        <wps:cNvPr id="2" name="AutoShape 5"/>
                        <wps:cNvSpPr>
                          <a:spLocks noChangeArrowheads="1"/>
                        </wps:cNvSpPr>
                        <wps:spPr bwMode="auto">
                          <a:xfrm>
                            <a:off x="7709" y="4169"/>
                            <a:ext cx="3409" cy="832"/>
                          </a:xfrm>
                          <a:prstGeom prst="homePlate">
                            <a:avLst>
                              <a:gd name="adj" fmla="val 0"/>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5C90" w:rsidRPr="00E15B07" w:rsidRDefault="00155C90" w:rsidP="00155C90">
                              <w:pPr>
                                <w:spacing w:before="160"/>
                                <w:jc w:val="center"/>
                                <w:rPr>
                                  <w:rFonts w:ascii="Arial" w:hAnsi="Arial" w:cs="Arial"/>
                                  <w:b/>
                                  <w:color w:val="FFFFFF" w:themeColor="background1"/>
                                  <w:sz w:val="28"/>
                                </w:rPr>
                              </w:pPr>
                              <w:r>
                                <w:rPr>
                                  <w:rFonts w:ascii="Arial" w:hAnsi="Arial" w:cs="Arial"/>
                                  <w:b/>
                                  <w:color w:val="FFFFFF" w:themeColor="background1"/>
                                  <w:sz w:val="28"/>
                                </w:rPr>
                                <w:t>PHILOSOPHY</w:t>
                              </w:r>
                            </w:p>
                            <w:p w:rsidR="00155C90" w:rsidRDefault="00155C90" w:rsidP="00155C90"/>
                          </w:txbxContent>
                        </wps:txbx>
                        <wps:bodyPr rot="0" vert="horz" wrap="square" lIns="91440" tIns="45720" rIns="91440" bIns="45720" anchor="t" anchorCtr="0" upright="1">
                          <a:noAutofit/>
                        </wps:bodyPr>
                      </wps:wsp>
                      <wps:wsp>
                        <wps:cNvPr id="3" name="AutoShape 6"/>
                        <wps:cNvSpPr>
                          <a:spLocks noChangeArrowheads="1"/>
                        </wps:cNvSpPr>
                        <wps:spPr bwMode="auto">
                          <a:xfrm>
                            <a:off x="4089" y="4169"/>
                            <a:ext cx="3409" cy="832"/>
                          </a:xfrm>
                          <a:prstGeom prst="homePlate">
                            <a:avLst>
                              <a:gd name="adj" fmla="val 0"/>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5C90" w:rsidRPr="00E15B07" w:rsidRDefault="00155C90" w:rsidP="00155C90">
                              <w:pPr>
                                <w:spacing w:before="160"/>
                                <w:jc w:val="center"/>
                                <w:rPr>
                                  <w:rFonts w:ascii="Arial" w:hAnsi="Arial" w:cs="Arial"/>
                                  <w:b/>
                                  <w:color w:val="FFFFFF" w:themeColor="background1"/>
                                  <w:sz w:val="28"/>
                                </w:rPr>
                              </w:pPr>
                              <w:r>
                                <w:rPr>
                                  <w:rFonts w:ascii="Arial" w:hAnsi="Arial" w:cs="Arial"/>
                                  <w:b/>
                                  <w:color w:val="FFFFFF" w:themeColor="background1"/>
                                  <w:sz w:val="28"/>
                                </w:rPr>
                                <w:t>PROCESS</w:t>
                              </w:r>
                            </w:p>
                            <w:p w:rsidR="00155C90" w:rsidRDefault="00155C90" w:rsidP="00155C90"/>
                          </w:txbxContent>
                        </wps:txbx>
                        <wps:bodyPr rot="0" vert="horz" wrap="square" lIns="91440" tIns="45720" rIns="91440" bIns="45720" anchor="t" anchorCtr="0" upright="1">
                          <a:noAutofit/>
                        </wps:bodyPr>
                      </wps:wsp>
                      <wps:wsp>
                        <wps:cNvPr id="4" name="AutoShape 7"/>
                        <wps:cNvSpPr>
                          <a:spLocks noChangeArrowheads="1"/>
                        </wps:cNvSpPr>
                        <wps:spPr bwMode="auto">
                          <a:xfrm>
                            <a:off x="402" y="4169"/>
                            <a:ext cx="3419" cy="832"/>
                          </a:xfrm>
                          <a:prstGeom prst="homePlate">
                            <a:avLst>
                              <a:gd name="adj" fmla="val 0"/>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5C90" w:rsidRPr="00E15B07" w:rsidRDefault="00155C90" w:rsidP="00155C90">
                              <w:pPr>
                                <w:spacing w:before="160"/>
                                <w:jc w:val="center"/>
                                <w:rPr>
                                  <w:rFonts w:ascii="Arial" w:hAnsi="Arial" w:cs="Arial"/>
                                  <w:b/>
                                  <w:color w:val="FFFFFF" w:themeColor="background1"/>
                                  <w:sz w:val="28"/>
                                </w:rPr>
                              </w:pPr>
                              <w:r w:rsidRPr="00E15B07">
                                <w:rPr>
                                  <w:rFonts w:ascii="Arial" w:hAnsi="Arial" w:cs="Arial"/>
                                  <w:b/>
                                  <w:color w:val="FFFFFF" w:themeColor="background1"/>
                                  <w:sz w:val="28"/>
                                </w:rPr>
                                <w:t>PEOPLE</w:t>
                              </w:r>
                            </w:p>
                          </w:txbxContent>
                        </wps:txbx>
                        <wps:bodyPr rot="0" vert="horz" wrap="square" lIns="91440" tIns="45720" rIns="91440" bIns="45720" anchor="t" anchorCtr="0" upright="1">
                          <a:noAutofit/>
                        </wps:bodyPr>
                      </wps:wsp>
                      <wps:wsp>
                        <wps:cNvPr id="5" name="Rectangle 4"/>
                        <wps:cNvSpPr>
                          <a:spLocks noChangeArrowheads="1"/>
                        </wps:cNvSpPr>
                        <wps:spPr bwMode="auto">
                          <a:xfrm>
                            <a:off x="7709" y="5001"/>
                            <a:ext cx="3409" cy="389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5C90" w:rsidRDefault="00155C90" w:rsidP="00155C90">
                              <w:pPr>
                                <w:ind w:right="75"/>
                                <w:rPr>
                                  <w:rFonts w:ascii="Arial" w:hAnsi="Arial" w:cs="Arial"/>
                                  <w:b/>
                                  <w:color w:val="FFFFFF" w:themeColor="background1"/>
                                  <w:sz w:val="28"/>
                                  <w:szCs w:val="32"/>
                                </w:rPr>
                              </w:pPr>
                            </w:p>
                            <w:p w:rsidR="00155C90" w:rsidRPr="008674FE" w:rsidRDefault="00155C90" w:rsidP="00155C90">
                              <w:pPr>
                                <w:ind w:right="75"/>
                                <w:rPr>
                                  <w:rFonts w:ascii="Arial" w:hAnsi="Arial" w:cs="Arial"/>
                                  <w:color w:val="44546A" w:themeColor="text2"/>
                                  <w:sz w:val="28"/>
                                  <w:szCs w:val="28"/>
                                </w:rPr>
                              </w:pPr>
                              <w:r w:rsidRPr="008674FE">
                                <w:rPr>
                                  <w:rFonts w:ascii="Arial" w:hAnsi="Arial" w:cs="Arial"/>
                                  <w:color w:val="44546A" w:themeColor="text2"/>
                                  <w:sz w:val="28"/>
                                  <w:szCs w:val="28"/>
                                </w:rPr>
                                <w:t>Key Factors:</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Research and ideas must be coherent and persuasive</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Strong rationale</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Logical and compelling</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Focus on identifying skillful managers</w:t>
                              </w:r>
                            </w:p>
                          </w:txbxContent>
                        </wps:txbx>
                        <wps:bodyPr rot="0" vert="horz" wrap="square" lIns="91440" tIns="45720" rIns="91440" bIns="45720" anchor="t" anchorCtr="0" upright="1">
                          <a:noAutofit/>
                        </wps:bodyPr>
                      </wps:wsp>
                      <wps:wsp>
                        <wps:cNvPr id="6" name="Rectangle 2"/>
                        <wps:cNvSpPr>
                          <a:spLocks noChangeArrowheads="1"/>
                        </wps:cNvSpPr>
                        <wps:spPr bwMode="auto">
                          <a:xfrm>
                            <a:off x="411" y="5001"/>
                            <a:ext cx="3410" cy="389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5C90" w:rsidRDefault="00155C90" w:rsidP="00155C90">
                              <w:pPr>
                                <w:ind w:right="75"/>
                                <w:rPr>
                                  <w:rFonts w:ascii="Arial" w:hAnsi="Arial" w:cs="Arial"/>
                                  <w:b/>
                                  <w:color w:val="FFFFFF" w:themeColor="background1"/>
                                  <w:sz w:val="28"/>
                                  <w:szCs w:val="32"/>
                                </w:rPr>
                              </w:pPr>
                            </w:p>
                            <w:p w:rsidR="00155C90" w:rsidRPr="008674FE" w:rsidRDefault="00155C90" w:rsidP="00155C90">
                              <w:pPr>
                                <w:ind w:right="75"/>
                                <w:rPr>
                                  <w:rFonts w:ascii="Arial" w:hAnsi="Arial" w:cs="Arial"/>
                                  <w:color w:val="44546A" w:themeColor="text2"/>
                                  <w:sz w:val="28"/>
                                  <w:szCs w:val="28"/>
                                </w:rPr>
                              </w:pPr>
                              <w:r w:rsidRPr="008674FE">
                                <w:rPr>
                                  <w:rFonts w:ascii="Arial" w:hAnsi="Arial" w:cs="Arial"/>
                                  <w:color w:val="44546A" w:themeColor="text2"/>
                                  <w:sz w:val="28"/>
                                  <w:szCs w:val="28"/>
                                </w:rPr>
                                <w:t>Key Factors:</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Fund manager and team experience</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Deep institutional expertise</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Organizational structure</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Ability to drive the process and performance</w:t>
                              </w:r>
                            </w:p>
                          </w:txbxContent>
                        </wps:txbx>
                        <wps:bodyPr rot="0" vert="horz" wrap="square" lIns="91440" tIns="45720" rIns="91440" bIns="45720" anchor="t" anchorCtr="0" upright="1">
                          <a:noAutofit/>
                        </wps:bodyPr>
                      </wps:wsp>
                      <wps:wsp>
                        <wps:cNvPr id="7" name="Rectangle 3"/>
                        <wps:cNvSpPr>
                          <a:spLocks noChangeArrowheads="1"/>
                        </wps:cNvSpPr>
                        <wps:spPr bwMode="auto">
                          <a:xfrm>
                            <a:off x="4089" y="5001"/>
                            <a:ext cx="3409" cy="389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5C90" w:rsidRDefault="00155C90" w:rsidP="00155C90">
                              <w:pPr>
                                <w:ind w:right="75"/>
                                <w:rPr>
                                  <w:rFonts w:ascii="Arial" w:hAnsi="Arial" w:cs="Arial"/>
                                  <w:b/>
                                  <w:color w:val="FFFFFF" w:themeColor="background1"/>
                                  <w:sz w:val="28"/>
                                  <w:szCs w:val="32"/>
                                </w:rPr>
                              </w:pPr>
                            </w:p>
                            <w:p w:rsidR="00155C90" w:rsidRPr="008674FE" w:rsidRDefault="00155C90" w:rsidP="00155C90">
                              <w:pPr>
                                <w:ind w:right="75"/>
                                <w:rPr>
                                  <w:rFonts w:ascii="Arial" w:hAnsi="Arial" w:cs="Arial"/>
                                  <w:color w:val="44546A" w:themeColor="text2"/>
                                  <w:sz w:val="28"/>
                                  <w:szCs w:val="28"/>
                                </w:rPr>
                              </w:pPr>
                              <w:r w:rsidRPr="008674FE">
                                <w:rPr>
                                  <w:rFonts w:ascii="Arial" w:hAnsi="Arial" w:cs="Arial"/>
                                  <w:color w:val="44546A" w:themeColor="text2"/>
                                  <w:sz w:val="28"/>
                                  <w:szCs w:val="28"/>
                                </w:rPr>
                                <w:t>Key Factors:</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Clearly defined</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Consistent application</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Sound and established</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Clearly communicated</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Successfully executed process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6493A" id="Group 10" o:spid="_x0000_s1026" style="position:absolute;margin-left:-24.65pt;margin-top:8.95pt;width:535.8pt;height:236.1pt;z-index:251659264" coordorigin="402,4169" coordsize="10716,4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5" o:spid="_x0000_s1027" type="#_x0000_t15" style="position:absolute;left:7709;top:4169;width:3409;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" adj="21600" fillcolor="#44546a [3215]" stroked="f">
                  <v:textbox>
                    <w:txbxContent>
                      <w:p w:rsidR="00155C90" w:rsidRPr="00E15B07" w:rsidRDefault="00155C90" w:rsidP="00155C90">
                        <w:pPr>
                          <w:spacing w:before="160"/>
                          <w:jc w:val="center"/>
                          <w:rPr>
                            <w:rFonts w:ascii="Arial" w:hAnsi="Arial" w:cs="Arial"/>
                            <w:b/>
                            <w:color w:val="FFFFFF" w:themeColor="background1"/>
                            <w:sz w:val="28"/>
                          </w:rPr>
                        </w:pPr>
                        <w:r>
                          <w:rPr>
                            <w:rFonts w:ascii="Arial" w:hAnsi="Arial" w:cs="Arial"/>
                            <w:b/>
                            <w:color w:val="FFFFFF" w:themeColor="background1"/>
                            <w:sz w:val="28"/>
                          </w:rPr>
                          <w:t>PHILOSOPHY</w:t>
                        </w:r>
                      </w:p>
                      <w:p w:rsidR="00155C90" w:rsidRDefault="00155C90" w:rsidP="00155C90"/>
                    </w:txbxContent>
                  </v:textbox>
                </v:shape>
                <v:shape id="AutoShape 6" o:spid="_x0000_s1028" type="#_x0000_t15" style="position:absolute;left:4089;top:4169;width:3409;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" adj="21600" fillcolor="#44546a [3215]" stroked="f">
                  <v:textbox>
                    <w:txbxContent>
                      <w:p w:rsidR="00155C90" w:rsidRPr="00E15B07" w:rsidRDefault="00155C90" w:rsidP="00155C90">
                        <w:pPr>
                          <w:spacing w:before="160"/>
                          <w:jc w:val="center"/>
                          <w:rPr>
                            <w:rFonts w:ascii="Arial" w:hAnsi="Arial" w:cs="Arial"/>
                            <w:b/>
                            <w:color w:val="FFFFFF" w:themeColor="background1"/>
                            <w:sz w:val="28"/>
                          </w:rPr>
                        </w:pPr>
                        <w:r>
                          <w:rPr>
                            <w:rFonts w:ascii="Arial" w:hAnsi="Arial" w:cs="Arial"/>
                            <w:b/>
                            <w:color w:val="FFFFFF" w:themeColor="background1"/>
                            <w:sz w:val="28"/>
                          </w:rPr>
                          <w:t>PROCESS</w:t>
                        </w:r>
                      </w:p>
                      <w:p w:rsidR="00155C90" w:rsidRDefault="00155C90" w:rsidP="00155C90"/>
                    </w:txbxContent>
                  </v:textbox>
                </v:shape>
                <v:shape id="AutoShape 7" o:spid="_x0000_s1029" type="#_x0000_t15" style="position:absolute;left:402;top:4169;width:3419;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" adj="21600" fillcolor="#44546a [3215]" stroked="f">
                  <v:textbox>
                    <w:txbxContent>
                      <w:p w:rsidR="00155C90" w:rsidRPr="00E15B07" w:rsidRDefault="00155C90" w:rsidP="00155C90">
                        <w:pPr>
                          <w:spacing w:before="160"/>
                          <w:jc w:val="center"/>
                          <w:rPr>
                            <w:rFonts w:ascii="Arial" w:hAnsi="Arial" w:cs="Arial"/>
                            <w:b/>
                            <w:color w:val="FFFFFF" w:themeColor="background1"/>
                            <w:sz w:val="28"/>
                          </w:rPr>
                        </w:pPr>
                        <w:r w:rsidRPr="00E15B07">
                          <w:rPr>
                            <w:rFonts w:ascii="Arial" w:hAnsi="Arial" w:cs="Arial"/>
                            <w:b/>
                            <w:color w:val="FFFFFF" w:themeColor="background1"/>
                            <w:sz w:val="28"/>
                          </w:rPr>
                          <w:t>PEOPLE</w:t>
                        </w:r>
                      </w:p>
                    </w:txbxContent>
                  </v:textbox>
                </v:shape>
                <v:rect id="Rectangle 4" o:spid="_x0000_s1030" style="position:absolute;left:7709;top:5001;width:3409;height:3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" fillcolor="#d8d8d8 [2732]" stroked="f">
                  <v:textbox>
                    <w:txbxContent>
                      <w:p w:rsidR="00155C90" w:rsidRDefault="00155C90" w:rsidP="00155C90">
                        <w:pPr>
                          <w:ind w:right="75"/>
                          <w:rPr>
                            <w:rFonts w:ascii="Arial" w:hAnsi="Arial" w:cs="Arial"/>
                            <w:b/>
                            <w:color w:val="FFFFFF" w:themeColor="background1"/>
                            <w:sz w:val="28"/>
                            <w:szCs w:val="32"/>
                          </w:rPr>
                        </w:pPr>
                      </w:p>
                      <w:p w:rsidR="00155C90" w:rsidRPr="008674FE" w:rsidRDefault="00155C90" w:rsidP="00155C90">
                        <w:pPr>
                          <w:ind w:right="75"/>
                          <w:rPr>
                            <w:rFonts w:ascii="Arial" w:hAnsi="Arial" w:cs="Arial"/>
                            <w:color w:val="44546A" w:themeColor="text2"/>
                            <w:sz w:val="28"/>
                            <w:szCs w:val="28"/>
                          </w:rPr>
                        </w:pPr>
                        <w:r w:rsidRPr="008674FE">
                          <w:rPr>
                            <w:rFonts w:ascii="Arial" w:hAnsi="Arial" w:cs="Arial"/>
                            <w:color w:val="44546A" w:themeColor="text2"/>
                            <w:sz w:val="28"/>
                            <w:szCs w:val="28"/>
                          </w:rPr>
                          <w:t>Key Factors:</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Research and ideas must be coherent and persuasive</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Strong rationale</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Logical and compelling</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Focus on identifying skillful managers</w:t>
                        </w:r>
                      </w:p>
                    </w:txbxContent>
                  </v:textbox>
                </v:rect>
                <v:rect id="Rectangle 2" o:spid="_x0000_s1031" style="position:absolute;left:411;top:5001;width:3410;height:3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" fillcolor="#d8d8d8 [2732]" stroked="f">
                  <v:textbox>
                    <w:txbxContent>
                      <w:p w:rsidR="00155C90" w:rsidRDefault="00155C90" w:rsidP="00155C90">
                        <w:pPr>
                          <w:ind w:right="75"/>
                          <w:rPr>
                            <w:rFonts w:ascii="Arial" w:hAnsi="Arial" w:cs="Arial"/>
                            <w:b/>
                            <w:color w:val="FFFFFF" w:themeColor="background1"/>
                            <w:sz w:val="28"/>
                            <w:szCs w:val="32"/>
                          </w:rPr>
                        </w:pPr>
                      </w:p>
                      <w:p w:rsidR="00155C90" w:rsidRPr="008674FE" w:rsidRDefault="00155C90" w:rsidP="00155C90">
                        <w:pPr>
                          <w:ind w:right="75"/>
                          <w:rPr>
                            <w:rFonts w:ascii="Arial" w:hAnsi="Arial" w:cs="Arial"/>
                            <w:color w:val="44546A" w:themeColor="text2"/>
                            <w:sz w:val="28"/>
                            <w:szCs w:val="28"/>
                          </w:rPr>
                        </w:pPr>
                        <w:r w:rsidRPr="008674FE">
                          <w:rPr>
                            <w:rFonts w:ascii="Arial" w:hAnsi="Arial" w:cs="Arial"/>
                            <w:color w:val="44546A" w:themeColor="text2"/>
                            <w:sz w:val="28"/>
                            <w:szCs w:val="28"/>
                          </w:rPr>
                          <w:t>Key Factors:</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Fund manager and team experience</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Deep institutional expertise</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Organizational structure</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Ability to drive the process and performance</w:t>
                        </w:r>
                      </w:p>
                    </w:txbxContent>
                  </v:textbox>
                </v:rect>
                <v:rect id="Rectangle 3" o:spid="_x0000_s1032" style="position:absolute;left:4089;top:5001;width:3409;height:3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" fillcolor="#d8d8d8 [2732]" stroked="f">
                  <v:textbox>
                    <w:txbxContent>
                      <w:p w:rsidR="00155C90" w:rsidRDefault="00155C90" w:rsidP="00155C90">
                        <w:pPr>
                          <w:ind w:right="75"/>
                          <w:rPr>
                            <w:rFonts w:ascii="Arial" w:hAnsi="Arial" w:cs="Arial"/>
                            <w:b/>
                            <w:color w:val="FFFFFF" w:themeColor="background1"/>
                            <w:sz w:val="28"/>
                            <w:szCs w:val="32"/>
                          </w:rPr>
                        </w:pPr>
                      </w:p>
                      <w:p w:rsidR="00155C90" w:rsidRPr="008674FE" w:rsidRDefault="00155C90" w:rsidP="00155C90">
                        <w:pPr>
                          <w:ind w:right="75"/>
                          <w:rPr>
                            <w:rFonts w:ascii="Arial" w:hAnsi="Arial" w:cs="Arial"/>
                            <w:color w:val="44546A" w:themeColor="text2"/>
                            <w:sz w:val="28"/>
                            <w:szCs w:val="28"/>
                          </w:rPr>
                        </w:pPr>
                        <w:r w:rsidRPr="008674FE">
                          <w:rPr>
                            <w:rFonts w:ascii="Arial" w:hAnsi="Arial" w:cs="Arial"/>
                            <w:color w:val="44546A" w:themeColor="text2"/>
                            <w:sz w:val="28"/>
                            <w:szCs w:val="28"/>
                          </w:rPr>
                          <w:t>Key Factors:</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Clearly defined</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Consistent application</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Sound and established</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Clearly communicated</w:t>
                        </w:r>
                      </w:p>
                      <w:p w:rsidR="00155C90" w:rsidRPr="008674FE" w:rsidRDefault="00155C90" w:rsidP="00155C90">
                        <w:pPr>
                          <w:pStyle w:val="ListParagraph"/>
                          <w:numPr>
                            <w:ilvl w:val="0"/>
                            <w:numId w:val="30"/>
                          </w:numPr>
                          <w:ind w:left="450" w:right="75"/>
                          <w:rPr>
                            <w:rFonts w:ascii="Arial" w:hAnsi="Arial" w:cs="Arial"/>
                            <w:color w:val="44546A" w:themeColor="text2"/>
                            <w:sz w:val="28"/>
                            <w:szCs w:val="28"/>
                          </w:rPr>
                        </w:pPr>
                        <w:r w:rsidRPr="008674FE">
                          <w:rPr>
                            <w:rFonts w:ascii="Arial" w:hAnsi="Arial" w:cs="Arial"/>
                            <w:color w:val="44546A" w:themeColor="text2"/>
                            <w:sz w:val="28"/>
                            <w:szCs w:val="28"/>
                          </w:rPr>
                          <w:t>Successfully executed process</w:t>
                        </w:r>
                      </w:p>
                    </w:txbxContent>
                  </v:textbox>
                </v:rect>
              </v:group>
            </w:pict>
          </mc:Fallback>
        </mc:AlternateContent>
      </w:r>
    </w:p>
    <w:p w:rsidR="00155C90" w:rsidRPr="00C85517" w:rsidRDefault="00155C90" w:rsidP="00155C90">
      <w:pPr>
        <w:outlineLvl w:val="0"/>
        <w:rPr>
          <w:rFonts w:ascii="Arial" w:hAnsi="Arial" w:cs="Arial"/>
          <w:bCs/>
          <w:sz w:val="22"/>
          <w:szCs w:val="22"/>
        </w:rPr>
      </w:pPr>
    </w:p>
    <w:p w:rsidR="00155C90" w:rsidRPr="00F33818" w:rsidRDefault="00155C90" w:rsidP="00155C90">
      <w:pPr>
        <w:outlineLvl w:val="0"/>
        <w:rPr>
          <w:rFonts w:ascii="Arial" w:hAnsi="Arial" w:cs="Arial"/>
          <w:b/>
          <w:bCs/>
          <w:sz w:val="22"/>
          <w:szCs w:val="22"/>
        </w:rPr>
      </w:pPr>
    </w:p>
    <w:p w:rsidR="00155C90" w:rsidRPr="00C85517" w:rsidRDefault="00155C90" w:rsidP="00155C90">
      <w:pPr>
        <w:outlineLvl w:val="0"/>
        <w:rPr>
          <w:rFonts w:ascii="Arial" w:hAnsi="Arial" w:cs="Arial"/>
          <w:b/>
          <w:bCs/>
          <w:sz w:val="22"/>
          <w:szCs w:val="22"/>
        </w:rPr>
      </w:pPr>
    </w:p>
    <w:p w:rsidR="00155C90" w:rsidRDefault="00155C90" w:rsidP="00155C90">
      <w:pPr>
        <w:outlineLvl w:val="0"/>
        <w:rPr>
          <w:rFonts w:ascii="Arial" w:hAnsi="Arial" w:cs="Arial"/>
          <w:sz w:val="22"/>
          <w:szCs w:val="22"/>
        </w:rPr>
      </w:pPr>
    </w:p>
    <w:p w:rsidR="00155C90" w:rsidRDefault="00155C90" w:rsidP="00155C90">
      <w:pPr>
        <w:outlineLvl w:val="0"/>
        <w:rPr>
          <w:rFonts w:ascii="Arial" w:hAnsi="Arial" w:cs="Arial"/>
          <w:sz w:val="22"/>
          <w:szCs w:val="22"/>
        </w:rPr>
      </w:pPr>
    </w:p>
    <w:p w:rsidR="00155C90" w:rsidRDefault="00155C90" w:rsidP="00155C90">
      <w:pPr>
        <w:outlineLvl w:val="0"/>
        <w:rPr>
          <w:rFonts w:ascii="Arial" w:hAnsi="Arial" w:cs="Arial"/>
          <w:sz w:val="22"/>
          <w:szCs w:val="22"/>
        </w:rPr>
      </w:pPr>
    </w:p>
    <w:p w:rsidR="00155C90" w:rsidRDefault="00155C90" w:rsidP="00155C90">
      <w:pPr>
        <w:outlineLvl w:val="0"/>
        <w:rPr>
          <w:rFonts w:ascii="Arial" w:hAnsi="Arial" w:cs="Arial"/>
          <w:sz w:val="22"/>
          <w:szCs w:val="22"/>
        </w:rPr>
      </w:pPr>
    </w:p>
    <w:p w:rsidR="00155C90" w:rsidRDefault="00155C90" w:rsidP="00155C90">
      <w:pPr>
        <w:outlineLvl w:val="0"/>
        <w:rPr>
          <w:rFonts w:ascii="Arial" w:hAnsi="Arial" w:cs="Arial"/>
          <w:sz w:val="22"/>
          <w:szCs w:val="22"/>
        </w:rPr>
      </w:pPr>
    </w:p>
    <w:p w:rsidR="00155C90" w:rsidRDefault="00155C90" w:rsidP="00155C90">
      <w:pPr>
        <w:outlineLvl w:val="0"/>
        <w:rPr>
          <w:rFonts w:ascii="Arial" w:hAnsi="Arial" w:cs="Arial"/>
          <w:sz w:val="22"/>
          <w:szCs w:val="22"/>
        </w:rPr>
      </w:pPr>
    </w:p>
    <w:p w:rsidR="00155C90" w:rsidRDefault="00155C90" w:rsidP="00155C90">
      <w:pPr>
        <w:outlineLvl w:val="0"/>
        <w:rPr>
          <w:rFonts w:ascii="Arial" w:hAnsi="Arial" w:cs="Arial"/>
          <w:sz w:val="22"/>
          <w:szCs w:val="22"/>
        </w:rPr>
      </w:pPr>
    </w:p>
    <w:p w:rsidR="00155C90" w:rsidRDefault="00155C90" w:rsidP="00155C90">
      <w:pPr>
        <w:outlineLvl w:val="0"/>
        <w:rPr>
          <w:rFonts w:ascii="Arial" w:hAnsi="Arial" w:cs="Arial"/>
          <w:sz w:val="22"/>
          <w:szCs w:val="22"/>
        </w:rPr>
      </w:pPr>
    </w:p>
    <w:p w:rsidR="00155C90" w:rsidRDefault="00155C90" w:rsidP="00155C90">
      <w:pPr>
        <w:outlineLvl w:val="0"/>
        <w:rPr>
          <w:rFonts w:ascii="Arial" w:hAnsi="Arial" w:cs="Arial"/>
          <w:sz w:val="22"/>
          <w:szCs w:val="22"/>
        </w:rPr>
      </w:pPr>
    </w:p>
    <w:p w:rsidR="00155C90" w:rsidRDefault="00155C90" w:rsidP="00155C90">
      <w:pPr>
        <w:outlineLvl w:val="0"/>
        <w:rPr>
          <w:rFonts w:ascii="Arial" w:hAnsi="Arial" w:cs="Arial"/>
          <w:sz w:val="22"/>
          <w:szCs w:val="22"/>
        </w:rPr>
      </w:pPr>
    </w:p>
    <w:p w:rsidR="00155C90" w:rsidRDefault="00155C90" w:rsidP="00155C90">
      <w:pPr>
        <w:outlineLvl w:val="0"/>
        <w:rPr>
          <w:rFonts w:ascii="Arial" w:hAnsi="Arial" w:cs="Arial"/>
          <w:sz w:val="22"/>
          <w:szCs w:val="22"/>
        </w:rPr>
      </w:pPr>
    </w:p>
    <w:p w:rsidR="00155C90" w:rsidRDefault="00155C90" w:rsidP="00155C90">
      <w:pPr>
        <w:rPr>
          <w:rFonts w:ascii="Arial" w:hAnsi="Arial" w:cs="Arial"/>
          <w:b/>
          <w:sz w:val="36"/>
          <w:szCs w:val="36"/>
        </w:rPr>
      </w:pPr>
    </w:p>
    <w:p w:rsidR="00155C90" w:rsidRDefault="00155C90" w:rsidP="00155C90">
      <w:pPr>
        <w:rPr>
          <w:rFonts w:ascii="Arial" w:hAnsi="Arial" w:cs="Arial"/>
          <w:b/>
          <w:sz w:val="36"/>
          <w:szCs w:val="36"/>
        </w:rPr>
      </w:pPr>
    </w:p>
    <w:p w:rsidR="00155C90" w:rsidRDefault="00155C90" w:rsidP="00155C90">
      <w:pPr>
        <w:rPr>
          <w:rFonts w:ascii="Arial" w:hAnsi="Arial" w:cs="Arial"/>
          <w:b/>
          <w:sz w:val="36"/>
          <w:szCs w:val="36"/>
        </w:rPr>
      </w:pPr>
    </w:p>
    <w:p w:rsidR="00155C90" w:rsidRDefault="00155C90" w:rsidP="00155C90">
      <w:pPr>
        <w:rPr>
          <w:rFonts w:ascii="Arial" w:hAnsi="Arial" w:cs="Arial"/>
          <w:b/>
          <w:sz w:val="36"/>
          <w:szCs w:val="36"/>
        </w:rPr>
      </w:pPr>
    </w:p>
    <w:p w:rsidR="00155C90" w:rsidRDefault="00155C90" w:rsidP="00155C90">
      <w:pPr>
        <w:rPr>
          <w:rFonts w:ascii="Arial" w:hAnsi="Arial" w:cs="Arial"/>
          <w:b/>
          <w:sz w:val="36"/>
          <w:szCs w:val="36"/>
        </w:rPr>
      </w:pPr>
    </w:p>
    <w:p w:rsidR="00155C90" w:rsidRDefault="00155C90" w:rsidP="00155C90">
      <w:pPr>
        <w:rPr>
          <w:rFonts w:ascii="Arial" w:hAnsi="Arial" w:cs="Arial"/>
          <w:b/>
          <w:sz w:val="36"/>
          <w:szCs w:val="36"/>
        </w:rPr>
      </w:pPr>
    </w:p>
    <w:p w:rsidR="00155C90" w:rsidRDefault="00155C90" w:rsidP="00155C90">
      <w:pPr>
        <w:rPr>
          <w:rFonts w:ascii="Arial" w:hAnsi="Arial" w:cs="Arial"/>
          <w:b/>
          <w:sz w:val="36"/>
          <w:szCs w:val="36"/>
        </w:rPr>
      </w:pPr>
    </w:p>
    <w:p w:rsidR="00155C90" w:rsidRDefault="00155C90" w:rsidP="00155C90">
      <w:pPr>
        <w:rPr>
          <w:rFonts w:ascii="Arial" w:hAnsi="Arial" w:cs="Arial"/>
          <w:b/>
          <w:sz w:val="36"/>
          <w:szCs w:val="36"/>
        </w:rPr>
      </w:pPr>
    </w:p>
    <w:p w:rsidR="00155C90" w:rsidRDefault="00155C90" w:rsidP="00155C90">
      <w:pPr>
        <w:rPr>
          <w:rFonts w:ascii="Arial" w:hAnsi="Arial" w:cs="Arial"/>
          <w:b/>
          <w:sz w:val="36"/>
          <w:szCs w:val="36"/>
        </w:rPr>
      </w:pPr>
    </w:p>
    <w:p w:rsidR="00155C90" w:rsidRDefault="00155C90" w:rsidP="00155C90">
      <w:pPr>
        <w:rPr>
          <w:rFonts w:ascii="Arial" w:hAnsi="Arial" w:cs="Arial"/>
          <w:b/>
          <w:sz w:val="36"/>
          <w:szCs w:val="36"/>
        </w:rPr>
      </w:pPr>
    </w:p>
    <w:p w:rsidR="00155C90" w:rsidRDefault="00155C90" w:rsidP="00155C90">
      <w:pPr>
        <w:rPr>
          <w:rFonts w:ascii="Arial" w:hAnsi="Arial" w:cs="Arial"/>
          <w:b/>
          <w:sz w:val="36"/>
          <w:szCs w:val="36"/>
        </w:rPr>
      </w:pPr>
    </w:p>
    <w:p w:rsidR="00155C90" w:rsidRDefault="00155C90" w:rsidP="00155C90">
      <w:pPr>
        <w:rPr>
          <w:rFonts w:ascii="Arial" w:hAnsi="Arial" w:cs="Arial"/>
          <w:b/>
          <w:sz w:val="36"/>
          <w:szCs w:val="36"/>
        </w:rPr>
      </w:pPr>
    </w:p>
    <w:p w:rsidR="00155C90" w:rsidRDefault="00155C90" w:rsidP="00155C90">
      <w:pPr>
        <w:rPr>
          <w:rFonts w:ascii="Arial" w:hAnsi="Arial" w:cs="Arial"/>
          <w:b/>
          <w:sz w:val="36"/>
          <w:szCs w:val="36"/>
        </w:rPr>
      </w:pPr>
    </w:p>
    <w:p w:rsidR="00155C90" w:rsidRDefault="00155C90" w:rsidP="00155C90">
      <w:pPr>
        <w:rPr>
          <w:rFonts w:ascii="Arial" w:hAnsi="Arial" w:cs="Arial"/>
          <w:b/>
          <w:sz w:val="36"/>
          <w:szCs w:val="36"/>
        </w:rPr>
      </w:pPr>
    </w:p>
    <w:p w:rsidR="00155C90" w:rsidRDefault="00155C90" w:rsidP="00155C90">
      <w:pPr>
        <w:rPr>
          <w:rFonts w:ascii="Arial" w:hAnsi="Arial" w:cs="Arial"/>
          <w:b/>
          <w:sz w:val="36"/>
          <w:szCs w:val="36"/>
        </w:rPr>
      </w:pPr>
    </w:p>
    <w:p w:rsidR="00155C90" w:rsidRDefault="00155C90" w:rsidP="00155C90">
      <w:pPr>
        <w:rPr>
          <w:rFonts w:ascii="Arial" w:hAnsi="Arial" w:cs="Arial"/>
          <w:b/>
          <w:sz w:val="36"/>
          <w:szCs w:val="36"/>
        </w:rPr>
      </w:pPr>
    </w:p>
    <w:p w:rsidR="00155C90" w:rsidRDefault="00155C90" w:rsidP="00155C90">
      <w:pPr>
        <w:rPr>
          <w:rFonts w:ascii="Arial" w:hAnsi="Arial" w:cs="Arial"/>
          <w:b/>
          <w:sz w:val="36"/>
          <w:szCs w:val="36"/>
        </w:rPr>
      </w:pPr>
      <w:r>
        <w:rPr>
          <w:rFonts w:ascii="Arial" w:hAnsi="Arial" w:cs="Arial"/>
          <w:b/>
          <w:sz w:val="36"/>
          <w:szCs w:val="36"/>
        </w:rPr>
        <w:lastRenderedPageBreak/>
        <w:t>Scorecard System Disclosures</w:t>
      </w:r>
    </w:p>
    <w:p w:rsidR="00155C90" w:rsidRDefault="00155C90" w:rsidP="00155C90">
      <w:pPr>
        <w:rPr>
          <w:rFonts w:ascii="Arial" w:hAnsi="Arial" w:cs="Arial"/>
          <w:b/>
          <w:sz w:val="36"/>
          <w:szCs w:val="36"/>
        </w:rPr>
      </w:pPr>
    </w:p>
    <w:p w:rsidR="00155C90" w:rsidRPr="00C85517" w:rsidRDefault="00155C90" w:rsidP="00155C90">
      <w:pPr>
        <w:spacing w:after="100"/>
        <w:ind w:right="-475"/>
        <w:rPr>
          <w:rFonts w:ascii="Arial" w:hAnsi="Arial" w:cs="Arial"/>
          <w:sz w:val="18"/>
        </w:rPr>
      </w:pPr>
      <w:r w:rsidRPr="00C85517">
        <w:rPr>
          <w:rFonts w:ascii="Arial" w:hAnsi="Arial" w:cs="Arial"/>
          <w:sz w:val="18"/>
        </w:rPr>
        <w:t>Investment objectives and strategies vary among fund, and may not be similar for funds included in the same asset class.</w:t>
      </w:r>
    </w:p>
    <w:p w:rsidR="00155C90" w:rsidRPr="00C85517" w:rsidRDefault="00155C90" w:rsidP="00155C90">
      <w:pPr>
        <w:spacing w:after="100"/>
        <w:ind w:right="-475"/>
        <w:rPr>
          <w:rFonts w:ascii="Arial" w:hAnsi="Arial" w:cs="Arial"/>
          <w:sz w:val="18"/>
        </w:rPr>
      </w:pPr>
      <w:r w:rsidRPr="00C85517">
        <w:rPr>
          <w:rFonts w:ascii="Arial" w:hAnsi="Arial" w:cs="Arial"/>
          <w:sz w:val="18"/>
        </w:rPr>
        <w:t xml:space="preserve">All definitions are typical category representations. The specific share classes or accounts identified above may not be available or chosen by the </w:t>
      </w:r>
      <w:r>
        <w:rPr>
          <w:rFonts w:ascii="Arial" w:hAnsi="Arial" w:cs="Arial"/>
          <w:sz w:val="18"/>
        </w:rPr>
        <w:t>Plan</w:t>
      </w:r>
      <w:r w:rsidRPr="00C85517">
        <w:rPr>
          <w:rFonts w:ascii="Arial" w:hAnsi="Arial" w:cs="Arial"/>
          <w:sz w:val="18"/>
        </w:rPr>
        <w:t xml:space="preserve">. Share class and account availability is unique to the client's specific circumstances. There may be multiple share classes or accounts available to the client from which to choose. All recommendations are subject to vendor/provider approval before implementation into the </w:t>
      </w:r>
      <w:r>
        <w:rPr>
          <w:rFonts w:ascii="Arial" w:hAnsi="Arial" w:cs="Arial"/>
          <w:sz w:val="18"/>
        </w:rPr>
        <w:t>Plan.</w:t>
      </w:r>
      <w:r w:rsidRPr="00C85517">
        <w:rPr>
          <w:rFonts w:ascii="Arial" w:hAnsi="Arial" w:cs="Arial"/>
          <w:sz w:val="18"/>
        </w:rPr>
        <w:t xml:space="preserve"> The performance data quoted may not reflect the deduction of additional fees, if applicable. If reflected, additional fees would reduce the performance quoted.</w:t>
      </w:r>
    </w:p>
    <w:p w:rsidR="00155C90" w:rsidRPr="00C85517" w:rsidRDefault="00155C90" w:rsidP="00155C90">
      <w:pPr>
        <w:spacing w:after="100"/>
        <w:ind w:right="-475"/>
        <w:rPr>
          <w:rFonts w:ascii="Arial" w:hAnsi="Arial" w:cs="Arial"/>
          <w:sz w:val="18"/>
        </w:rPr>
      </w:pPr>
      <w:r w:rsidRPr="00C85517">
        <w:rPr>
          <w:rFonts w:ascii="Arial" w:hAnsi="Arial" w:cs="Arial"/>
          <w:sz w:val="18"/>
        </w:rPr>
        <w:t>Performance data is subject to change without prior notice.</w:t>
      </w:r>
    </w:p>
    <w:p w:rsidR="00155C90" w:rsidRPr="00C85517" w:rsidRDefault="00155C90" w:rsidP="00155C90">
      <w:pPr>
        <w:spacing w:after="100"/>
        <w:ind w:right="-475"/>
        <w:rPr>
          <w:rFonts w:ascii="Arial" w:hAnsi="Arial" w:cs="Arial"/>
          <w:sz w:val="18"/>
        </w:rPr>
      </w:pPr>
      <w:r w:rsidRPr="00C85517">
        <w:rPr>
          <w:rFonts w:ascii="Arial" w:hAnsi="Arial" w:cs="Arial"/>
          <w:sz w:val="18"/>
        </w:rPr>
        <w:t>Performance of indexes reflects the unmanaged result for the market segment the selected stocks represent. Indexes are unmanaged and not available for direct investment.</w:t>
      </w:r>
    </w:p>
    <w:p w:rsidR="00155C90" w:rsidRPr="00C85517" w:rsidRDefault="00155C90" w:rsidP="00155C90">
      <w:pPr>
        <w:spacing w:after="100"/>
        <w:ind w:right="-475"/>
        <w:rPr>
          <w:rFonts w:ascii="Arial" w:hAnsi="Arial" w:cs="Arial"/>
          <w:sz w:val="18"/>
        </w:rPr>
      </w:pPr>
      <w:r w:rsidRPr="00C85517">
        <w:rPr>
          <w:rFonts w:ascii="Arial" w:hAnsi="Arial" w:cs="Arial"/>
          <w:sz w:val="18"/>
        </w:rPr>
        <w:t xml:space="preserve">The information used in the analysis has been taken from sources deemed to be reliable, including, third-party providers such as </w:t>
      </w:r>
      <w:r w:rsidRPr="00C85517">
        <w:rPr>
          <w:rFonts w:ascii="Arial" w:hAnsi="Arial" w:cs="Arial"/>
          <w:i/>
          <w:iCs/>
          <w:sz w:val="18"/>
        </w:rPr>
        <w:t xml:space="preserve">Markov Processes International, Morningstar, </w:t>
      </w:r>
      <w:r w:rsidRPr="00C85517">
        <w:rPr>
          <w:rFonts w:ascii="Arial" w:hAnsi="Arial" w:cs="Arial"/>
          <w:sz w:val="18"/>
        </w:rPr>
        <w:t xml:space="preserve">firms who manage the investments, and/or the retirement </w:t>
      </w:r>
      <w:r>
        <w:rPr>
          <w:rFonts w:ascii="Arial" w:hAnsi="Arial" w:cs="Arial"/>
          <w:sz w:val="18"/>
        </w:rPr>
        <w:t>plan</w:t>
      </w:r>
      <w:r w:rsidRPr="00C85517">
        <w:rPr>
          <w:rFonts w:ascii="Arial" w:hAnsi="Arial" w:cs="Arial"/>
          <w:sz w:val="18"/>
        </w:rPr>
        <w:t xml:space="preserve"> providers who offer the funds. </w:t>
      </w:r>
    </w:p>
    <w:p w:rsidR="00155C90" w:rsidRPr="00C85517" w:rsidRDefault="00155C90" w:rsidP="00155C90">
      <w:pPr>
        <w:spacing w:after="100"/>
        <w:ind w:right="-475"/>
        <w:rPr>
          <w:rFonts w:ascii="Arial" w:hAnsi="Arial" w:cs="Arial"/>
          <w:sz w:val="18"/>
        </w:rPr>
      </w:pPr>
      <w:r w:rsidRPr="00C85517">
        <w:rPr>
          <w:rFonts w:ascii="Arial" w:hAnsi="Arial" w:cs="Arial"/>
          <w:sz w:val="18"/>
        </w:rPr>
        <w:t xml:space="preserve">Every reasonable effort has been made to ensure completeness and accuracy; however, the final accuracy of the numbers and information is the responsibility of the investment manager(s) of each fund and/or the retirement </w:t>
      </w:r>
      <w:r>
        <w:rPr>
          <w:rFonts w:ascii="Arial" w:hAnsi="Arial" w:cs="Arial"/>
          <w:sz w:val="18"/>
        </w:rPr>
        <w:t>plan</w:t>
      </w:r>
      <w:r w:rsidRPr="00C85517">
        <w:rPr>
          <w:rFonts w:ascii="Arial" w:hAnsi="Arial" w:cs="Arial"/>
          <w:sz w:val="18"/>
        </w:rPr>
        <w:t xml:space="preserve"> providers offering these funds. Discrepancies between the figures reported in this analysis, and those reported by the actual investment managers and/or retirement </w:t>
      </w:r>
      <w:r>
        <w:rPr>
          <w:rFonts w:ascii="Arial" w:hAnsi="Arial" w:cs="Arial"/>
          <w:sz w:val="18"/>
        </w:rPr>
        <w:t>plan</w:t>
      </w:r>
      <w:r w:rsidRPr="00C85517">
        <w:rPr>
          <w:rFonts w:ascii="Arial" w:hAnsi="Arial" w:cs="Arial"/>
          <w:sz w:val="18"/>
        </w:rPr>
        <w:t xml:space="preserve"> providers, may be caused by a variety of factors, including: Inaccurate reporting by the manager/provider; Changes in reporting by the manager/provider from the time this report was prepared to a subsequent retro-active audit and corrected reporting; Differences in fees and share-classes impacting net investment return; and, Scriveners error by your advisor in preparing this report.  </w:t>
      </w:r>
    </w:p>
    <w:p w:rsidR="00155C90" w:rsidRPr="00C85517" w:rsidRDefault="00155C90" w:rsidP="00155C90">
      <w:pPr>
        <w:spacing w:after="100"/>
        <w:ind w:right="-475"/>
        <w:rPr>
          <w:rFonts w:ascii="Arial" w:hAnsi="Arial" w:cs="Arial"/>
          <w:sz w:val="18"/>
        </w:rPr>
      </w:pPr>
      <w:r w:rsidRPr="00C85517">
        <w:rPr>
          <w:rFonts w:ascii="Arial" w:hAnsi="Arial" w:cs="Arial"/>
          <w:sz w:val="18"/>
        </w:rPr>
        <w:t xml:space="preserve">The enclosed Investment Due Diligence report, including the </w:t>
      </w:r>
      <w:r w:rsidRPr="00C85517">
        <w:rPr>
          <w:rFonts w:ascii="Arial" w:hAnsi="Arial" w:cs="Arial"/>
          <w:b/>
          <w:sz w:val="18"/>
        </w:rPr>
        <w:t>Scorecard</w:t>
      </w:r>
      <w:r w:rsidRPr="00C85517">
        <w:rPr>
          <w:rFonts w:ascii="Arial" w:hAnsi="Arial" w:cs="Arial"/>
          <w:sz w:val="18"/>
        </w:rPr>
        <w:t xml:space="preserve"> </w:t>
      </w:r>
      <w:r w:rsidRPr="008D6CA3">
        <w:rPr>
          <w:rFonts w:ascii="Arial" w:hAnsi="Arial" w:cs="Arial"/>
          <w:b/>
          <w:sz w:val="18"/>
        </w:rPr>
        <w:t>System</w:t>
      </w:r>
      <w:r w:rsidRPr="00C85517">
        <w:rPr>
          <w:rFonts w:ascii="Arial" w:hAnsi="Arial" w:cs="Arial"/>
          <w:sz w:val="18"/>
        </w:rPr>
        <w:t xml:space="preserve">, is intended for </w:t>
      </w:r>
      <w:r>
        <w:rPr>
          <w:rFonts w:ascii="Arial" w:hAnsi="Arial" w:cs="Arial"/>
          <w:sz w:val="18"/>
        </w:rPr>
        <w:t>plan</w:t>
      </w:r>
      <w:r w:rsidRPr="00C85517">
        <w:rPr>
          <w:rFonts w:ascii="Arial" w:hAnsi="Arial" w:cs="Arial"/>
          <w:sz w:val="18"/>
        </w:rPr>
        <w:t xml:space="preserve"> sponsor and/or institutional use only. The materials are not intended for participant use.</w:t>
      </w:r>
    </w:p>
    <w:p w:rsidR="00155C90" w:rsidRPr="00C85517" w:rsidRDefault="00155C90" w:rsidP="00155C90">
      <w:pPr>
        <w:spacing w:after="100"/>
        <w:ind w:right="-475"/>
        <w:rPr>
          <w:rFonts w:ascii="Arial" w:hAnsi="Arial" w:cs="Arial"/>
          <w:sz w:val="18"/>
        </w:rPr>
      </w:pPr>
      <w:r w:rsidRPr="00C85517">
        <w:rPr>
          <w:rFonts w:ascii="Arial" w:hAnsi="Arial" w:cs="Arial"/>
          <w:sz w:val="18"/>
        </w:rPr>
        <w:t xml:space="preserve">The purpose of this report is to assist fiduciaries in selecting and monitoring investment options. A fund’s score is meant to be used by the </w:t>
      </w:r>
      <w:r>
        <w:rPr>
          <w:rFonts w:ascii="Arial" w:hAnsi="Arial" w:cs="Arial"/>
          <w:sz w:val="18"/>
        </w:rPr>
        <w:t>Plan</w:t>
      </w:r>
      <w:r w:rsidRPr="00C85517">
        <w:rPr>
          <w:rFonts w:ascii="Arial" w:hAnsi="Arial" w:cs="Arial"/>
          <w:sz w:val="18"/>
        </w:rPr>
        <w:t xml:space="preserve"> sponsor and/or fiduciaries as a tool for selecting the most appropriate fund.</w:t>
      </w:r>
    </w:p>
    <w:p w:rsidR="00155C90" w:rsidRPr="00C85517" w:rsidRDefault="00155C90" w:rsidP="00155C90">
      <w:pPr>
        <w:spacing w:after="100"/>
        <w:ind w:right="-475"/>
        <w:rPr>
          <w:rFonts w:ascii="Arial" w:hAnsi="Arial" w:cs="Arial"/>
          <w:sz w:val="18"/>
        </w:rPr>
      </w:pPr>
      <w:r w:rsidRPr="00C85517">
        <w:rPr>
          <w:rFonts w:ascii="Arial" w:hAnsi="Arial" w:cs="Arial"/>
          <w:sz w:val="18"/>
        </w:rPr>
        <w:t>Fund scores will change as the performance of the funds change and as certain factors measured in the qualitative category change (e.g., manager tenure). Fund scores are not expected to change dramatically from each measured period, however, there is no guarantee this will be the case. Scores will change depending on the changes in the underlying pre-specified Scorecard</w:t>
      </w:r>
      <w:r>
        <w:rPr>
          <w:rFonts w:ascii="Arial" w:hAnsi="Arial" w:cs="Arial"/>
          <w:sz w:val="18"/>
        </w:rPr>
        <w:t>™</w:t>
      </w:r>
      <w:r w:rsidRPr="00C85517">
        <w:rPr>
          <w:rFonts w:ascii="Arial" w:hAnsi="Arial" w:cs="Arial"/>
          <w:sz w:val="18"/>
        </w:rPr>
        <w:t xml:space="preserve"> factors.</w:t>
      </w:r>
    </w:p>
    <w:p w:rsidR="00155C90" w:rsidRPr="00C85517" w:rsidRDefault="00155C90" w:rsidP="00155C90">
      <w:pPr>
        <w:spacing w:after="100"/>
        <w:ind w:right="-475"/>
        <w:rPr>
          <w:rFonts w:ascii="Arial" w:hAnsi="Arial" w:cs="Arial"/>
          <w:sz w:val="18"/>
        </w:rPr>
      </w:pPr>
      <w:r w:rsidRPr="00C85517">
        <w:rPr>
          <w:rFonts w:ascii="Arial" w:hAnsi="Arial" w:cs="Arial"/>
          <w:sz w:val="18"/>
        </w:rPr>
        <w:t xml:space="preserve">Neither past performance nor statistics calculated using past performance are guarantees of a fund’s future performance. Likewise, a fund’s score using the </w:t>
      </w:r>
      <w:r w:rsidRPr="008D6CA3">
        <w:rPr>
          <w:rFonts w:ascii="Arial" w:hAnsi="Arial" w:cs="Arial"/>
          <w:b/>
          <w:sz w:val="18"/>
        </w:rPr>
        <w:t>Scorecard System™</w:t>
      </w:r>
      <w:r w:rsidRPr="00C85517">
        <w:rPr>
          <w:rFonts w:ascii="Arial" w:hAnsi="Arial" w:cs="Arial"/>
          <w:sz w:val="18"/>
        </w:rPr>
        <w:t xml:space="preserve"> does not guarantee the future performance or style consistency of a fund. </w:t>
      </w:r>
    </w:p>
    <w:p w:rsidR="00155C90" w:rsidRPr="00C85517" w:rsidRDefault="00155C90" w:rsidP="00155C90">
      <w:pPr>
        <w:spacing w:after="100"/>
        <w:ind w:right="-475"/>
        <w:rPr>
          <w:rFonts w:ascii="Arial" w:hAnsi="Arial" w:cs="Arial"/>
          <w:sz w:val="18"/>
        </w:rPr>
      </w:pPr>
      <w:r w:rsidRPr="00C85517">
        <w:rPr>
          <w:rFonts w:ascii="Arial" w:hAnsi="Arial" w:cs="Arial"/>
          <w:sz w:val="18"/>
        </w:rPr>
        <w:t xml:space="preserve">This report was prepared with the belief that this information is relevant to the </w:t>
      </w:r>
      <w:r>
        <w:rPr>
          <w:rFonts w:ascii="Arial" w:hAnsi="Arial" w:cs="Arial"/>
          <w:sz w:val="18"/>
        </w:rPr>
        <w:t>Plan</w:t>
      </w:r>
      <w:r w:rsidRPr="00C85517">
        <w:rPr>
          <w:rFonts w:ascii="Arial" w:hAnsi="Arial" w:cs="Arial"/>
          <w:sz w:val="18"/>
        </w:rPr>
        <w:t xml:space="preserve"> sponsor as the </w:t>
      </w:r>
      <w:r>
        <w:rPr>
          <w:rFonts w:ascii="Arial" w:hAnsi="Arial" w:cs="Arial"/>
          <w:sz w:val="18"/>
        </w:rPr>
        <w:t>Plan</w:t>
      </w:r>
      <w:r w:rsidRPr="00C85517">
        <w:rPr>
          <w:rFonts w:ascii="Arial" w:hAnsi="Arial" w:cs="Arial"/>
          <w:sz w:val="18"/>
        </w:rPr>
        <w:t xml:space="preserve"> sponsor makes investment selections. </w:t>
      </w:r>
    </w:p>
    <w:p w:rsidR="00155C90" w:rsidRPr="00C85517" w:rsidRDefault="00155C90" w:rsidP="00155C90">
      <w:pPr>
        <w:spacing w:after="100"/>
        <w:ind w:right="-475"/>
        <w:rPr>
          <w:rFonts w:ascii="Arial" w:hAnsi="Arial" w:cs="Arial"/>
          <w:sz w:val="18"/>
        </w:rPr>
      </w:pPr>
      <w:r w:rsidRPr="00C85517">
        <w:rPr>
          <w:rFonts w:ascii="Arial" w:hAnsi="Arial" w:cs="Arial"/>
          <w:sz w:val="18"/>
        </w:rPr>
        <w:t xml:space="preserve">Fund selection is at the discretion of the investment fiduciaries, which are either the </w:t>
      </w:r>
      <w:r>
        <w:rPr>
          <w:rFonts w:ascii="Arial" w:hAnsi="Arial" w:cs="Arial"/>
          <w:sz w:val="18"/>
        </w:rPr>
        <w:t>Plan</w:t>
      </w:r>
      <w:r w:rsidRPr="00C85517">
        <w:rPr>
          <w:rFonts w:ascii="Arial" w:hAnsi="Arial" w:cs="Arial"/>
          <w:sz w:val="18"/>
        </w:rPr>
        <w:t xml:space="preserve"> sponsor or the </w:t>
      </w:r>
      <w:r>
        <w:rPr>
          <w:rFonts w:ascii="Arial" w:hAnsi="Arial" w:cs="Arial"/>
          <w:sz w:val="18"/>
        </w:rPr>
        <w:t>Committee</w:t>
      </w:r>
      <w:r w:rsidRPr="00C85517">
        <w:rPr>
          <w:rFonts w:ascii="Arial" w:hAnsi="Arial" w:cs="Arial"/>
          <w:sz w:val="18"/>
        </w:rPr>
        <w:t xml:space="preserve"> appointed to perform that function.</w:t>
      </w:r>
    </w:p>
    <w:p w:rsidR="00155C90" w:rsidRPr="00C85517" w:rsidRDefault="00155C90" w:rsidP="00155C90">
      <w:pPr>
        <w:spacing w:after="100"/>
        <w:ind w:right="-475"/>
        <w:rPr>
          <w:rFonts w:ascii="Arial" w:hAnsi="Arial" w:cs="Arial"/>
          <w:sz w:val="18"/>
        </w:rPr>
      </w:pPr>
      <w:r w:rsidRPr="00C85517">
        <w:rPr>
          <w:rFonts w:ascii="Arial" w:hAnsi="Arial" w:cs="Arial"/>
          <w:sz w:val="18"/>
        </w:rPr>
        <w:t xml:space="preserve">Cash Equivalents (e.g., money market fund) and some specialty funds are not scored by the </w:t>
      </w:r>
      <w:r w:rsidRPr="00C85517">
        <w:rPr>
          <w:rFonts w:ascii="Arial" w:hAnsi="Arial" w:cs="Arial"/>
          <w:b/>
          <w:sz w:val="18"/>
        </w:rPr>
        <w:t>Scorecard</w:t>
      </w:r>
      <w:r w:rsidRPr="00C85517">
        <w:rPr>
          <w:rFonts w:ascii="Arial" w:hAnsi="Arial" w:cs="Arial"/>
          <w:sz w:val="18"/>
        </w:rPr>
        <w:t xml:space="preserve"> </w:t>
      </w:r>
      <w:r w:rsidRPr="008D6CA3">
        <w:rPr>
          <w:rFonts w:ascii="Arial" w:hAnsi="Arial" w:cs="Arial"/>
          <w:b/>
          <w:sz w:val="18"/>
        </w:rPr>
        <w:t>System</w:t>
      </w:r>
      <w:r w:rsidRPr="00C85517">
        <w:rPr>
          <w:rFonts w:ascii="Arial" w:hAnsi="Arial" w:cs="Arial"/>
          <w:sz w:val="18"/>
        </w:rPr>
        <w:t xml:space="preserve">. </w:t>
      </w:r>
    </w:p>
    <w:p w:rsidR="00155C90" w:rsidRPr="00C85517" w:rsidRDefault="00155C90" w:rsidP="00155C90">
      <w:pPr>
        <w:spacing w:after="100"/>
        <w:ind w:right="-475"/>
        <w:rPr>
          <w:rFonts w:ascii="Arial" w:hAnsi="Arial" w:cs="Arial"/>
          <w:sz w:val="18"/>
        </w:rPr>
      </w:pPr>
      <w:r w:rsidRPr="00C85517">
        <w:rPr>
          <w:rFonts w:ascii="Arial" w:hAnsi="Arial" w:cs="Arial"/>
          <w:sz w:val="18"/>
        </w:rPr>
        <w:t>The enclosed Investment Due Diligence report and Scorecard</w:t>
      </w:r>
      <w:r>
        <w:rPr>
          <w:rFonts w:ascii="Arial" w:hAnsi="Arial" w:cs="Arial"/>
          <w:sz w:val="18"/>
        </w:rPr>
        <w:t>™</w:t>
      </w:r>
      <w:r w:rsidRPr="00C85517">
        <w:rPr>
          <w:rFonts w:ascii="Arial" w:hAnsi="Arial" w:cs="Arial"/>
          <w:sz w:val="18"/>
        </w:rPr>
        <w:t xml:space="preserve"> is not an offer to sell mutual funds. An offer to sell may be made only after the client has received and read the appropriate prospectus.</w:t>
      </w:r>
      <w:r w:rsidRPr="00C85517">
        <w:rPr>
          <w:rFonts w:ascii="Arial" w:hAnsi="Arial" w:cs="Arial"/>
          <w:b/>
          <w:bCs/>
          <w:sz w:val="18"/>
        </w:rPr>
        <w:t xml:space="preserve"> </w:t>
      </w:r>
    </w:p>
    <w:p w:rsidR="00155C90" w:rsidRPr="00C85517" w:rsidRDefault="00155C90" w:rsidP="00155C90">
      <w:pPr>
        <w:spacing w:after="100"/>
        <w:ind w:right="-475"/>
        <w:rPr>
          <w:rFonts w:ascii="Arial" w:hAnsi="Arial" w:cs="Arial"/>
          <w:sz w:val="18"/>
        </w:rPr>
      </w:pPr>
      <w:r w:rsidRPr="00C85517">
        <w:rPr>
          <w:rFonts w:ascii="Arial" w:hAnsi="Arial" w:cs="Arial"/>
          <w:sz w:val="18"/>
        </w:rPr>
        <w:t xml:space="preserve">For the most current month-end performance, please contact your advisor. </w:t>
      </w:r>
    </w:p>
    <w:p w:rsidR="00155C90" w:rsidRPr="00C85517" w:rsidRDefault="00155C90" w:rsidP="00155C90">
      <w:pPr>
        <w:spacing w:after="100"/>
        <w:ind w:right="-475"/>
        <w:rPr>
          <w:rFonts w:ascii="Arial" w:hAnsi="Arial" w:cs="Arial"/>
          <w:sz w:val="18"/>
        </w:rPr>
      </w:pPr>
      <w:r w:rsidRPr="00C85517">
        <w:rPr>
          <w:rFonts w:ascii="Arial" w:hAnsi="Arial" w:cs="Arial"/>
          <w:sz w:val="18"/>
        </w:rPr>
        <w:t>The Strategy Review notes section is fo</w:t>
      </w:r>
      <w:r>
        <w:rPr>
          <w:rFonts w:ascii="Arial" w:hAnsi="Arial" w:cs="Arial"/>
          <w:sz w:val="18"/>
        </w:rPr>
        <w:t>r informational purposes only. </w:t>
      </w:r>
      <w:r w:rsidRPr="00C85517">
        <w:rPr>
          <w:rFonts w:ascii="Arial" w:hAnsi="Arial" w:cs="Arial"/>
          <w:sz w:val="18"/>
        </w:rPr>
        <w:t>The views expressed here are those of your advisor and do not constitute a</w:t>
      </w:r>
      <w:r>
        <w:rPr>
          <w:rFonts w:ascii="Arial" w:hAnsi="Arial" w:cs="Arial"/>
          <w:sz w:val="18"/>
        </w:rPr>
        <w:t>n offer to sell an investment. </w:t>
      </w:r>
      <w:r w:rsidRPr="00C85517">
        <w:rPr>
          <w:rFonts w:ascii="Arial" w:hAnsi="Arial" w:cs="Arial"/>
          <w:sz w:val="18"/>
        </w:rPr>
        <w:t xml:space="preserve">An offer to sell may be made only after the client has received and read the appropriate prospectus. </w:t>
      </w:r>
    </w:p>
    <w:p w:rsidR="00155C90" w:rsidRPr="00C85517" w:rsidRDefault="00155C90" w:rsidP="00155C90">
      <w:pPr>
        <w:spacing w:after="100"/>
        <w:ind w:right="-475"/>
        <w:rPr>
          <w:rFonts w:ascii="Arial" w:hAnsi="Arial" w:cs="Arial"/>
          <w:sz w:val="18"/>
        </w:rPr>
      </w:pPr>
      <w:r w:rsidRPr="00C85517">
        <w:rPr>
          <w:rFonts w:ascii="Arial" w:hAnsi="Arial" w:cs="Arial"/>
          <w:b/>
          <w:bCs/>
          <w:sz w:val="18"/>
        </w:rPr>
        <w:t>Carefully consider the investment objectives, risk factors and charges and expenses of the investment company before investing. This and other information can be found in the fund’s prospectus, which may be obtained by contacting your Investment Advisor/Consultant or Vendor/Provider. Read the prospectus carefully before investing.</w:t>
      </w:r>
    </w:p>
    <w:p w:rsidR="000604A8" w:rsidRDefault="00155C90" w:rsidP="00155C90">
      <w:pPr>
        <w:spacing w:after="100"/>
        <w:ind w:right="-475"/>
        <w:rPr>
          <w:rFonts w:ascii="Arial" w:hAnsi="Arial" w:cs="Arial"/>
          <w:sz w:val="18"/>
        </w:rPr>
      </w:pPr>
      <w:r w:rsidRPr="00C85517">
        <w:rPr>
          <w:rFonts w:ascii="Arial" w:hAnsi="Arial" w:cs="Arial"/>
          <w:b/>
          <w:bCs/>
          <w:sz w:val="18"/>
        </w:rPr>
        <w:t>For a copy of the most recent prospectus, please contact your Investment Advisor/Consultant or Vendor/Provider.</w:t>
      </w:r>
      <w:r w:rsidRPr="00C85517">
        <w:rPr>
          <w:rFonts w:ascii="Arial" w:hAnsi="Arial" w:cs="Arial"/>
          <w:sz w:val="18"/>
        </w:rPr>
        <w:t xml:space="preserve"> </w:t>
      </w:r>
    </w:p>
    <w:p w:rsidR="00155C90" w:rsidRPr="000604A8" w:rsidRDefault="000604A8" w:rsidP="000604A8">
      <w:pPr>
        <w:spacing w:after="100"/>
        <w:ind w:right="-475"/>
        <w:rPr>
          <w:rFonts w:ascii="Arial" w:hAnsi="Arial" w:cs="Arial"/>
          <w:sz w:val="18"/>
          <w:szCs w:val="18"/>
        </w:rPr>
      </w:pPr>
      <w:r w:rsidRPr="000604A8">
        <w:rPr>
          <w:rFonts w:ascii="Arial" w:hAnsi="Arial" w:cs="Arial"/>
          <w:sz w:val="18"/>
          <w:szCs w:val="18"/>
        </w:rPr>
        <w:t>Securities may be offered through Kestra Investment Services, LLC (Kestra IS), Member FINRA/SIPC.  Investment Advisory Services may be offered through NFP Retirement, Inc. Kestra IS is not affiliated with NFP Retirement, Inc., a subsidiary of NFP.</w:t>
      </w:r>
      <w:r>
        <w:rPr>
          <w:rFonts w:ascii="Arial" w:hAnsi="Arial" w:cs="Arial"/>
          <w:sz w:val="18"/>
          <w:szCs w:val="18"/>
        </w:rPr>
        <w:t xml:space="preserve"> </w:t>
      </w:r>
      <w:r w:rsidR="00286E28">
        <w:rPr>
          <w:rFonts w:ascii="Arial" w:hAnsi="Arial" w:cs="Arial"/>
          <w:sz w:val="18"/>
          <w:szCs w:val="18"/>
        </w:rPr>
        <w:t>NFPR-2014-178 ACR#188256 05/16</w:t>
      </w:r>
    </w:p>
    <w:p w:rsidR="00155C90" w:rsidRDefault="00155C90" w:rsidP="00155C90">
      <w:pPr>
        <w:spacing w:after="120"/>
        <w:rPr>
          <w:rFonts w:ascii="Arial" w:hAnsi="Arial" w:cs="Arial"/>
          <w:sz w:val="18"/>
          <w:szCs w:val="18"/>
        </w:rPr>
      </w:pPr>
    </w:p>
    <w:p w:rsidR="007B76BC" w:rsidRDefault="007B76BC"/>
    <w:sectPr w:rsidR="007B76BC" w:rsidSect="00ED2A47">
      <w:pgSz w:w="12240" w:h="15840" w:code="1"/>
      <w:pgMar w:top="1440" w:right="1296" w:bottom="630" w:left="1296"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3E0" w:rsidRDefault="003503E0">
      <w:r>
        <w:separator/>
      </w:r>
    </w:p>
  </w:endnote>
  <w:endnote w:type="continuationSeparator" w:id="0">
    <w:p w:rsidR="003503E0" w:rsidRDefault="0035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6F9" w:rsidRDefault="00155C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76F9" w:rsidRDefault="003503E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64954247"/>
      <w:docPartObj>
        <w:docPartGallery w:val="Page Numbers (Bottom of Page)"/>
        <w:docPartUnique/>
      </w:docPartObj>
    </w:sdtPr>
    <w:sdtEndPr/>
    <w:sdtContent>
      <w:sdt>
        <w:sdtPr>
          <w:rPr>
            <w:sz w:val="20"/>
            <w:szCs w:val="20"/>
          </w:rPr>
          <w:id w:val="1564954248"/>
          <w:docPartObj>
            <w:docPartGallery w:val="Page Numbers (Top of Page)"/>
            <w:docPartUnique/>
          </w:docPartObj>
        </w:sdtPr>
        <w:sdtEndPr/>
        <w:sdtContent>
          <w:p w:rsidR="006C76F9" w:rsidRPr="00977124" w:rsidRDefault="00155C90" w:rsidP="00977124">
            <w:pPr>
              <w:pStyle w:val="Footer"/>
              <w:jc w:val="center"/>
              <w:rPr>
                <w:sz w:val="20"/>
                <w:szCs w:val="20"/>
              </w:rPr>
            </w:pPr>
            <w:r w:rsidRPr="00977124">
              <w:rPr>
                <w:sz w:val="20"/>
                <w:szCs w:val="20"/>
              </w:rPr>
              <w:t xml:space="preserve">Page </w:t>
            </w:r>
            <w:r w:rsidRPr="00977124">
              <w:rPr>
                <w:b/>
                <w:sz w:val="20"/>
                <w:szCs w:val="20"/>
              </w:rPr>
              <w:fldChar w:fldCharType="begin"/>
            </w:r>
            <w:r w:rsidRPr="00977124">
              <w:rPr>
                <w:b/>
                <w:sz w:val="20"/>
                <w:szCs w:val="20"/>
              </w:rPr>
              <w:instrText xml:space="preserve"> PAGE </w:instrText>
            </w:r>
            <w:r w:rsidRPr="00977124">
              <w:rPr>
                <w:b/>
                <w:sz w:val="20"/>
                <w:szCs w:val="20"/>
              </w:rPr>
              <w:fldChar w:fldCharType="separate"/>
            </w:r>
            <w:r w:rsidR="007241A1">
              <w:rPr>
                <w:b/>
                <w:noProof/>
                <w:sz w:val="20"/>
                <w:szCs w:val="20"/>
              </w:rPr>
              <w:t>9</w:t>
            </w:r>
            <w:r w:rsidRPr="00977124">
              <w:rPr>
                <w:b/>
                <w:sz w:val="20"/>
                <w:szCs w:val="20"/>
              </w:rPr>
              <w:fldChar w:fldCharType="end"/>
            </w:r>
            <w:r w:rsidRPr="00977124">
              <w:rPr>
                <w:sz w:val="20"/>
                <w:szCs w:val="20"/>
              </w:rPr>
              <w:t xml:space="preserve"> of </w:t>
            </w:r>
            <w:r w:rsidRPr="00977124">
              <w:rPr>
                <w:b/>
                <w:sz w:val="20"/>
                <w:szCs w:val="20"/>
              </w:rPr>
              <w:fldChar w:fldCharType="begin"/>
            </w:r>
            <w:r w:rsidRPr="00977124">
              <w:rPr>
                <w:b/>
                <w:sz w:val="20"/>
                <w:szCs w:val="20"/>
              </w:rPr>
              <w:instrText xml:space="preserve"> NUMPAGES  </w:instrText>
            </w:r>
            <w:r w:rsidRPr="00977124">
              <w:rPr>
                <w:b/>
                <w:sz w:val="20"/>
                <w:szCs w:val="20"/>
              </w:rPr>
              <w:fldChar w:fldCharType="separate"/>
            </w:r>
            <w:r w:rsidR="007241A1">
              <w:rPr>
                <w:b/>
                <w:noProof/>
                <w:sz w:val="20"/>
                <w:szCs w:val="20"/>
              </w:rPr>
              <w:t>15</w:t>
            </w:r>
            <w:r w:rsidRPr="00977124">
              <w:rPr>
                <w:b/>
                <w:sz w:val="20"/>
                <w:szCs w:val="20"/>
              </w:rPr>
              <w:fldChar w:fldCharType="end"/>
            </w:r>
          </w:p>
        </w:sdtContent>
      </w:sdt>
    </w:sdtContent>
  </w:sdt>
  <w:p w:rsidR="006C76F9" w:rsidRPr="00977124" w:rsidRDefault="003503E0" w:rsidP="00977124">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3E0" w:rsidRDefault="003503E0">
      <w:r>
        <w:separator/>
      </w:r>
    </w:p>
  </w:footnote>
  <w:footnote w:type="continuationSeparator" w:id="0">
    <w:p w:rsidR="003503E0" w:rsidRDefault="003503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6F9" w:rsidRPr="009B40CD" w:rsidRDefault="00155C90" w:rsidP="0061462F">
    <w:pPr>
      <w:pStyle w:val="Header"/>
      <w:jc w:val="center"/>
      <w:rPr>
        <w:rFonts w:ascii="Arial" w:hAnsi="Arial" w:cs="Arial"/>
        <w:b/>
        <w:color w:val="999999"/>
        <w:sz w:val="36"/>
        <w:szCs w:val="36"/>
      </w:rPr>
    </w:pPr>
    <w:r w:rsidRPr="009B40CD">
      <w:rPr>
        <w:rFonts w:ascii="Arial" w:hAnsi="Arial" w:cs="Arial"/>
        <w:b/>
        <w:smallCaps/>
        <w:color w:val="999999"/>
        <w:sz w:val="36"/>
        <w:szCs w:val="36"/>
      </w:rPr>
      <w:t xml:space="preserve">- sample - </w:t>
    </w:r>
  </w:p>
  <w:p w:rsidR="006C76F9" w:rsidRPr="009B40CD" w:rsidRDefault="003503E0" w:rsidP="00FF46B9">
    <w:pPr>
      <w:pStyle w:val="Header"/>
      <w:jc w:val="center"/>
      <w:rPr>
        <w:rFonts w:ascii="Arial" w:hAnsi="Arial" w:cs="Arial"/>
        <w:b/>
        <w:color w:val="999999"/>
        <w:sz w:val="36"/>
        <w:szCs w:val="3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BCA3154"/>
    <w:lvl w:ilvl="0">
      <w:numFmt w:val="bullet"/>
      <w:lvlText w:val="*"/>
      <w:lvlJc w:val="left"/>
    </w:lvl>
  </w:abstractNum>
  <w:abstractNum w:abstractNumId="1" w15:restartNumberingAfterBreak="0">
    <w:nsid w:val="04C0777E"/>
    <w:multiLevelType w:val="hybridMultilevel"/>
    <w:tmpl w:val="D7F80754"/>
    <w:lvl w:ilvl="0" w:tplc="7D9C65D6">
      <w:start w:val="1"/>
      <w:numFmt w:val="bullet"/>
      <w:lvlText w:val="•"/>
      <w:lvlJc w:val="left"/>
      <w:pPr>
        <w:tabs>
          <w:tab w:val="num" w:pos="720"/>
        </w:tabs>
        <w:ind w:left="720" w:hanging="360"/>
      </w:pPr>
      <w:rPr>
        <w:rFonts w:ascii="Times New Roman" w:hAnsi="Times New Roman" w:hint="default"/>
      </w:rPr>
    </w:lvl>
    <w:lvl w:ilvl="1" w:tplc="4984E47E" w:tentative="1">
      <w:start w:val="1"/>
      <w:numFmt w:val="bullet"/>
      <w:lvlText w:val="•"/>
      <w:lvlJc w:val="left"/>
      <w:pPr>
        <w:tabs>
          <w:tab w:val="num" w:pos="1440"/>
        </w:tabs>
        <w:ind w:left="1440" w:hanging="360"/>
      </w:pPr>
      <w:rPr>
        <w:rFonts w:ascii="Times New Roman" w:hAnsi="Times New Roman" w:hint="default"/>
      </w:rPr>
    </w:lvl>
    <w:lvl w:ilvl="2" w:tplc="7572F522" w:tentative="1">
      <w:start w:val="1"/>
      <w:numFmt w:val="bullet"/>
      <w:lvlText w:val="•"/>
      <w:lvlJc w:val="left"/>
      <w:pPr>
        <w:tabs>
          <w:tab w:val="num" w:pos="2160"/>
        </w:tabs>
        <w:ind w:left="2160" w:hanging="360"/>
      </w:pPr>
      <w:rPr>
        <w:rFonts w:ascii="Times New Roman" w:hAnsi="Times New Roman" w:hint="default"/>
      </w:rPr>
    </w:lvl>
    <w:lvl w:ilvl="3" w:tplc="BAB074D2" w:tentative="1">
      <w:start w:val="1"/>
      <w:numFmt w:val="bullet"/>
      <w:lvlText w:val="•"/>
      <w:lvlJc w:val="left"/>
      <w:pPr>
        <w:tabs>
          <w:tab w:val="num" w:pos="2880"/>
        </w:tabs>
        <w:ind w:left="2880" w:hanging="360"/>
      </w:pPr>
      <w:rPr>
        <w:rFonts w:ascii="Times New Roman" w:hAnsi="Times New Roman" w:hint="default"/>
      </w:rPr>
    </w:lvl>
    <w:lvl w:ilvl="4" w:tplc="0BD8A5DC" w:tentative="1">
      <w:start w:val="1"/>
      <w:numFmt w:val="bullet"/>
      <w:lvlText w:val="•"/>
      <w:lvlJc w:val="left"/>
      <w:pPr>
        <w:tabs>
          <w:tab w:val="num" w:pos="3600"/>
        </w:tabs>
        <w:ind w:left="3600" w:hanging="360"/>
      </w:pPr>
      <w:rPr>
        <w:rFonts w:ascii="Times New Roman" w:hAnsi="Times New Roman" w:hint="default"/>
      </w:rPr>
    </w:lvl>
    <w:lvl w:ilvl="5" w:tplc="60C041D2" w:tentative="1">
      <w:start w:val="1"/>
      <w:numFmt w:val="bullet"/>
      <w:lvlText w:val="•"/>
      <w:lvlJc w:val="left"/>
      <w:pPr>
        <w:tabs>
          <w:tab w:val="num" w:pos="4320"/>
        </w:tabs>
        <w:ind w:left="4320" w:hanging="360"/>
      </w:pPr>
      <w:rPr>
        <w:rFonts w:ascii="Times New Roman" w:hAnsi="Times New Roman" w:hint="default"/>
      </w:rPr>
    </w:lvl>
    <w:lvl w:ilvl="6" w:tplc="9014C8A0" w:tentative="1">
      <w:start w:val="1"/>
      <w:numFmt w:val="bullet"/>
      <w:lvlText w:val="•"/>
      <w:lvlJc w:val="left"/>
      <w:pPr>
        <w:tabs>
          <w:tab w:val="num" w:pos="5040"/>
        </w:tabs>
        <w:ind w:left="5040" w:hanging="360"/>
      </w:pPr>
      <w:rPr>
        <w:rFonts w:ascii="Times New Roman" w:hAnsi="Times New Roman" w:hint="default"/>
      </w:rPr>
    </w:lvl>
    <w:lvl w:ilvl="7" w:tplc="39F6F43C" w:tentative="1">
      <w:start w:val="1"/>
      <w:numFmt w:val="bullet"/>
      <w:lvlText w:val="•"/>
      <w:lvlJc w:val="left"/>
      <w:pPr>
        <w:tabs>
          <w:tab w:val="num" w:pos="5760"/>
        </w:tabs>
        <w:ind w:left="5760" w:hanging="360"/>
      </w:pPr>
      <w:rPr>
        <w:rFonts w:ascii="Times New Roman" w:hAnsi="Times New Roman" w:hint="default"/>
      </w:rPr>
    </w:lvl>
    <w:lvl w:ilvl="8" w:tplc="3BC66B2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F55F71"/>
    <w:multiLevelType w:val="hybridMultilevel"/>
    <w:tmpl w:val="6960F41A"/>
    <w:lvl w:ilvl="0" w:tplc="3ECA5C00">
      <w:start w:val="1"/>
      <w:numFmt w:val="bullet"/>
      <w:lvlText w:val="•"/>
      <w:lvlJc w:val="left"/>
      <w:pPr>
        <w:tabs>
          <w:tab w:val="num" w:pos="720"/>
        </w:tabs>
        <w:ind w:left="720" w:hanging="360"/>
      </w:pPr>
      <w:rPr>
        <w:rFonts w:ascii="Times New Roman" w:hAnsi="Times New Roman" w:hint="default"/>
      </w:rPr>
    </w:lvl>
    <w:lvl w:ilvl="1" w:tplc="CB9EF2D4" w:tentative="1">
      <w:start w:val="1"/>
      <w:numFmt w:val="bullet"/>
      <w:lvlText w:val="•"/>
      <w:lvlJc w:val="left"/>
      <w:pPr>
        <w:tabs>
          <w:tab w:val="num" w:pos="1440"/>
        </w:tabs>
        <w:ind w:left="1440" w:hanging="360"/>
      </w:pPr>
      <w:rPr>
        <w:rFonts w:ascii="Times New Roman" w:hAnsi="Times New Roman" w:hint="default"/>
      </w:rPr>
    </w:lvl>
    <w:lvl w:ilvl="2" w:tplc="446062EC" w:tentative="1">
      <w:start w:val="1"/>
      <w:numFmt w:val="bullet"/>
      <w:lvlText w:val="•"/>
      <w:lvlJc w:val="left"/>
      <w:pPr>
        <w:tabs>
          <w:tab w:val="num" w:pos="2160"/>
        </w:tabs>
        <w:ind w:left="2160" w:hanging="360"/>
      </w:pPr>
      <w:rPr>
        <w:rFonts w:ascii="Times New Roman" w:hAnsi="Times New Roman" w:hint="default"/>
      </w:rPr>
    </w:lvl>
    <w:lvl w:ilvl="3" w:tplc="88A6DE3A" w:tentative="1">
      <w:start w:val="1"/>
      <w:numFmt w:val="bullet"/>
      <w:lvlText w:val="•"/>
      <w:lvlJc w:val="left"/>
      <w:pPr>
        <w:tabs>
          <w:tab w:val="num" w:pos="2880"/>
        </w:tabs>
        <w:ind w:left="2880" w:hanging="360"/>
      </w:pPr>
      <w:rPr>
        <w:rFonts w:ascii="Times New Roman" w:hAnsi="Times New Roman" w:hint="default"/>
      </w:rPr>
    </w:lvl>
    <w:lvl w:ilvl="4" w:tplc="E28806AA" w:tentative="1">
      <w:start w:val="1"/>
      <w:numFmt w:val="bullet"/>
      <w:lvlText w:val="•"/>
      <w:lvlJc w:val="left"/>
      <w:pPr>
        <w:tabs>
          <w:tab w:val="num" w:pos="3600"/>
        </w:tabs>
        <w:ind w:left="3600" w:hanging="360"/>
      </w:pPr>
      <w:rPr>
        <w:rFonts w:ascii="Times New Roman" w:hAnsi="Times New Roman" w:hint="default"/>
      </w:rPr>
    </w:lvl>
    <w:lvl w:ilvl="5" w:tplc="1EDE77E6" w:tentative="1">
      <w:start w:val="1"/>
      <w:numFmt w:val="bullet"/>
      <w:lvlText w:val="•"/>
      <w:lvlJc w:val="left"/>
      <w:pPr>
        <w:tabs>
          <w:tab w:val="num" w:pos="4320"/>
        </w:tabs>
        <w:ind w:left="4320" w:hanging="360"/>
      </w:pPr>
      <w:rPr>
        <w:rFonts w:ascii="Times New Roman" w:hAnsi="Times New Roman" w:hint="default"/>
      </w:rPr>
    </w:lvl>
    <w:lvl w:ilvl="6" w:tplc="3BE62F28" w:tentative="1">
      <w:start w:val="1"/>
      <w:numFmt w:val="bullet"/>
      <w:lvlText w:val="•"/>
      <w:lvlJc w:val="left"/>
      <w:pPr>
        <w:tabs>
          <w:tab w:val="num" w:pos="5040"/>
        </w:tabs>
        <w:ind w:left="5040" w:hanging="360"/>
      </w:pPr>
      <w:rPr>
        <w:rFonts w:ascii="Times New Roman" w:hAnsi="Times New Roman" w:hint="default"/>
      </w:rPr>
    </w:lvl>
    <w:lvl w:ilvl="7" w:tplc="6B6C9306" w:tentative="1">
      <w:start w:val="1"/>
      <w:numFmt w:val="bullet"/>
      <w:lvlText w:val="•"/>
      <w:lvlJc w:val="left"/>
      <w:pPr>
        <w:tabs>
          <w:tab w:val="num" w:pos="5760"/>
        </w:tabs>
        <w:ind w:left="5760" w:hanging="360"/>
      </w:pPr>
      <w:rPr>
        <w:rFonts w:ascii="Times New Roman" w:hAnsi="Times New Roman" w:hint="default"/>
      </w:rPr>
    </w:lvl>
    <w:lvl w:ilvl="8" w:tplc="FACE72E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979128E"/>
    <w:multiLevelType w:val="hybridMultilevel"/>
    <w:tmpl w:val="E528C7C6"/>
    <w:lvl w:ilvl="0" w:tplc="7CE84898">
      <w:start w:val="1"/>
      <w:numFmt w:val="bullet"/>
      <w:lvlText w:val="•"/>
      <w:lvlJc w:val="left"/>
      <w:pPr>
        <w:tabs>
          <w:tab w:val="num" w:pos="720"/>
        </w:tabs>
        <w:ind w:left="720" w:hanging="360"/>
      </w:pPr>
      <w:rPr>
        <w:rFonts w:ascii="Times New Roman" w:hAnsi="Times New Roman" w:hint="default"/>
      </w:rPr>
    </w:lvl>
    <w:lvl w:ilvl="1" w:tplc="75A83A14" w:tentative="1">
      <w:start w:val="1"/>
      <w:numFmt w:val="bullet"/>
      <w:lvlText w:val="•"/>
      <w:lvlJc w:val="left"/>
      <w:pPr>
        <w:tabs>
          <w:tab w:val="num" w:pos="1440"/>
        </w:tabs>
        <w:ind w:left="1440" w:hanging="360"/>
      </w:pPr>
      <w:rPr>
        <w:rFonts w:ascii="Times New Roman" w:hAnsi="Times New Roman" w:hint="default"/>
      </w:rPr>
    </w:lvl>
    <w:lvl w:ilvl="2" w:tplc="6F3A807E" w:tentative="1">
      <w:start w:val="1"/>
      <w:numFmt w:val="bullet"/>
      <w:lvlText w:val="•"/>
      <w:lvlJc w:val="left"/>
      <w:pPr>
        <w:tabs>
          <w:tab w:val="num" w:pos="2160"/>
        </w:tabs>
        <w:ind w:left="2160" w:hanging="360"/>
      </w:pPr>
      <w:rPr>
        <w:rFonts w:ascii="Times New Roman" w:hAnsi="Times New Roman" w:hint="default"/>
      </w:rPr>
    </w:lvl>
    <w:lvl w:ilvl="3" w:tplc="E4CC281A" w:tentative="1">
      <w:start w:val="1"/>
      <w:numFmt w:val="bullet"/>
      <w:lvlText w:val="•"/>
      <w:lvlJc w:val="left"/>
      <w:pPr>
        <w:tabs>
          <w:tab w:val="num" w:pos="2880"/>
        </w:tabs>
        <w:ind w:left="2880" w:hanging="360"/>
      </w:pPr>
      <w:rPr>
        <w:rFonts w:ascii="Times New Roman" w:hAnsi="Times New Roman" w:hint="default"/>
      </w:rPr>
    </w:lvl>
    <w:lvl w:ilvl="4" w:tplc="F552F220" w:tentative="1">
      <w:start w:val="1"/>
      <w:numFmt w:val="bullet"/>
      <w:lvlText w:val="•"/>
      <w:lvlJc w:val="left"/>
      <w:pPr>
        <w:tabs>
          <w:tab w:val="num" w:pos="3600"/>
        </w:tabs>
        <w:ind w:left="3600" w:hanging="360"/>
      </w:pPr>
      <w:rPr>
        <w:rFonts w:ascii="Times New Roman" w:hAnsi="Times New Roman" w:hint="default"/>
      </w:rPr>
    </w:lvl>
    <w:lvl w:ilvl="5" w:tplc="645EC2A6" w:tentative="1">
      <w:start w:val="1"/>
      <w:numFmt w:val="bullet"/>
      <w:lvlText w:val="•"/>
      <w:lvlJc w:val="left"/>
      <w:pPr>
        <w:tabs>
          <w:tab w:val="num" w:pos="4320"/>
        </w:tabs>
        <w:ind w:left="4320" w:hanging="360"/>
      </w:pPr>
      <w:rPr>
        <w:rFonts w:ascii="Times New Roman" w:hAnsi="Times New Roman" w:hint="default"/>
      </w:rPr>
    </w:lvl>
    <w:lvl w:ilvl="6" w:tplc="DE9E1348" w:tentative="1">
      <w:start w:val="1"/>
      <w:numFmt w:val="bullet"/>
      <w:lvlText w:val="•"/>
      <w:lvlJc w:val="left"/>
      <w:pPr>
        <w:tabs>
          <w:tab w:val="num" w:pos="5040"/>
        </w:tabs>
        <w:ind w:left="5040" w:hanging="360"/>
      </w:pPr>
      <w:rPr>
        <w:rFonts w:ascii="Times New Roman" w:hAnsi="Times New Roman" w:hint="default"/>
      </w:rPr>
    </w:lvl>
    <w:lvl w:ilvl="7" w:tplc="1CE6269A" w:tentative="1">
      <w:start w:val="1"/>
      <w:numFmt w:val="bullet"/>
      <w:lvlText w:val="•"/>
      <w:lvlJc w:val="left"/>
      <w:pPr>
        <w:tabs>
          <w:tab w:val="num" w:pos="5760"/>
        </w:tabs>
        <w:ind w:left="5760" w:hanging="360"/>
      </w:pPr>
      <w:rPr>
        <w:rFonts w:ascii="Times New Roman" w:hAnsi="Times New Roman" w:hint="default"/>
      </w:rPr>
    </w:lvl>
    <w:lvl w:ilvl="8" w:tplc="60C6109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D011085"/>
    <w:multiLevelType w:val="hybridMultilevel"/>
    <w:tmpl w:val="BE3A65C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FCC333B"/>
    <w:multiLevelType w:val="multilevel"/>
    <w:tmpl w:val="E1866250"/>
    <w:lvl w:ilvl="0">
      <w:start w:val="1"/>
      <w:numFmt w:val="bullet"/>
      <w:lvlText w:val=""/>
      <w:lvlJc w:val="left"/>
      <w:pPr>
        <w:tabs>
          <w:tab w:val="num" w:pos="6750"/>
        </w:tabs>
        <w:ind w:left="2160" w:hanging="720"/>
      </w:pPr>
      <w:rPr>
        <w:rFonts w:ascii="Wingdings 3" w:hAnsi="Wingdings 3" w:hint="default"/>
        <w:color w:val="auto"/>
        <w:u w:color="8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4C4AE0"/>
    <w:multiLevelType w:val="hybridMultilevel"/>
    <w:tmpl w:val="9250B2DC"/>
    <w:lvl w:ilvl="0" w:tplc="4B241F84">
      <w:start w:val="1"/>
      <w:numFmt w:val="bullet"/>
      <w:lvlText w:val="•"/>
      <w:lvlJc w:val="left"/>
      <w:pPr>
        <w:tabs>
          <w:tab w:val="num" w:pos="720"/>
        </w:tabs>
        <w:ind w:left="720" w:hanging="360"/>
      </w:pPr>
      <w:rPr>
        <w:rFonts w:ascii="Times New Roman" w:hAnsi="Times New Roman" w:hint="default"/>
      </w:rPr>
    </w:lvl>
    <w:lvl w:ilvl="1" w:tplc="4B929C8C" w:tentative="1">
      <w:start w:val="1"/>
      <w:numFmt w:val="bullet"/>
      <w:lvlText w:val="•"/>
      <w:lvlJc w:val="left"/>
      <w:pPr>
        <w:tabs>
          <w:tab w:val="num" w:pos="1440"/>
        </w:tabs>
        <w:ind w:left="1440" w:hanging="360"/>
      </w:pPr>
      <w:rPr>
        <w:rFonts w:ascii="Times New Roman" w:hAnsi="Times New Roman" w:hint="default"/>
      </w:rPr>
    </w:lvl>
    <w:lvl w:ilvl="2" w:tplc="3A1EE1A6" w:tentative="1">
      <w:start w:val="1"/>
      <w:numFmt w:val="bullet"/>
      <w:lvlText w:val="•"/>
      <w:lvlJc w:val="left"/>
      <w:pPr>
        <w:tabs>
          <w:tab w:val="num" w:pos="2160"/>
        </w:tabs>
        <w:ind w:left="2160" w:hanging="360"/>
      </w:pPr>
      <w:rPr>
        <w:rFonts w:ascii="Times New Roman" w:hAnsi="Times New Roman" w:hint="default"/>
      </w:rPr>
    </w:lvl>
    <w:lvl w:ilvl="3" w:tplc="3C84209C" w:tentative="1">
      <w:start w:val="1"/>
      <w:numFmt w:val="bullet"/>
      <w:lvlText w:val="•"/>
      <w:lvlJc w:val="left"/>
      <w:pPr>
        <w:tabs>
          <w:tab w:val="num" w:pos="2880"/>
        </w:tabs>
        <w:ind w:left="2880" w:hanging="360"/>
      </w:pPr>
      <w:rPr>
        <w:rFonts w:ascii="Times New Roman" w:hAnsi="Times New Roman" w:hint="default"/>
      </w:rPr>
    </w:lvl>
    <w:lvl w:ilvl="4" w:tplc="8378F59A" w:tentative="1">
      <w:start w:val="1"/>
      <w:numFmt w:val="bullet"/>
      <w:lvlText w:val="•"/>
      <w:lvlJc w:val="left"/>
      <w:pPr>
        <w:tabs>
          <w:tab w:val="num" w:pos="3600"/>
        </w:tabs>
        <w:ind w:left="3600" w:hanging="360"/>
      </w:pPr>
      <w:rPr>
        <w:rFonts w:ascii="Times New Roman" w:hAnsi="Times New Roman" w:hint="default"/>
      </w:rPr>
    </w:lvl>
    <w:lvl w:ilvl="5" w:tplc="A1DAC8DA" w:tentative="1">
      <w:start w:val="1"/>
      <w:numFmt w:val="bullet"/>
      <w:lvlText w:val="•"/>
      <w:lvlJc w:val="left"/>
      <w:pPr>
        <w:tabs>
          <w:tab w:val="num" w:pos="4320"/>
        </w:tabs>
        <w:ind w:left="4320" w:hanging="360"/>
      </w:pPr>
      <w:rPr>
        <w:rFonts w:ascii="Times New Roman" w:hAnsi="Times New Roman" w:hint="default"/>
      </w:rPr>
    </w:lvl>
    <w:lvl w:ilvl="6" w:tplc="DA5EECA2" w:tentative="1">
      <w:start w:val="1"/>
      <w:numFmt w:val="bullet"/>
      <w:lvlText w:val="•"/>
      <w:lvlJc w:val="left"/>
      <w:pPr>
        <w:tabs>
          <w:tab w:val="num" w:pos="5040"/>
        </w:tabs>
        <w:ind w:left="5040" w:hanging="360"/>
      </w:pPr>
      <w:rPr>
        <w:rFonts w:ascii="Times New Roman" w:hAnsi="Times New Roman" w:hint="default"/>
      </w:rPr>
    </w:lvl>
    <w:lvl w:ilvl="7" w:tplc="B3CAF678" w:tentative="1">
      <w:start w:val="1"/>
      <w:numFmt w:val="bullet"/>
      <w:lvlText w:val="•"/>
      <w:lvlJc w:val="left"/>
      <w:pPr>
        <w:tabs>
          <w:tab w:val="num" w:pos="5760"/>
        </w:tabs>
        <w:ind w:left="5760" w:hanging="360"/>
      </w:pPr>
      <w:rPr>
        <w:rFonts w:ascii="Times New Roman" w:hAnsi="Times New Roman" w:hint="default"/>
      </w:rPr>
    </w:lvl>
    <w:lvl w:ilvl="8" w:tplc="23BAEBD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492456"/>
    <w:multiLevelType w:val="multilevel"/>
    <w:tmpl w:val="7E608B82"/>
    <w:lvl w:ilvl="0">
      <w:start w:val="1"/>
      <w:numFmt w:val="decimal"/>
      <w:lvlText w:val="%1."/>
      <w:lvlJc w:val="left"/>
      <w:pPr>
        <w:tabs>
          <w:tab w:val="num" w:pos="720"/>
        </w:tabs>
        <w:ind w:left="720" w:hanging="360"/>
      </w:pPr>
      <w:rPr>
        <w:rFonts w:ascii="Arial" w:hAnsi="Arial" w:hint="default"/>
        <w:b w:val="0"/>
        <w:i w:val="0"/>
        <w:color w:val="333333"/>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7832E4"/>
    <w:multiLevelType w:val="hybridMultilevel"/>
    <w:tmpl w:val="259AC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B1027"/>
    <w:multiLevelType w:val="hybridMultilevel"/>
    <w:tmpl w:val="65E8D906"/>
    <w:lvl w:ilvl="0" w:tplc="2AE02FB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D41AD"/>
    <w:multiLevelType w:val="hybridMultilevel"/>
    <w:tmpl w:val="94923CC6"/>
    <w:lvl w:ilvl="0" w:tplc="D77A194E">
      <w:start w:val="1"/>
      <w:numFmt w:val="bullet"/>
      <w:lvlText w:val=""/>
      <w:lvlJc w:val="left"/>
      <w:pPr>
        <w:tabs>
          <w:tab w:val="num" w:pos="720"/>
        </w:tabs>
        <w:ind w:left="720" w:hanging="360"/>
      </w:pPr>
      <w:rPr>
        <w:rFonts w:ascii="Symbol" w:hAnsi="Symbol" w:hint="default"/>
        <w:sz w:val="20"/>
      </w:rPr>
    </w:lvl>
    <w:lvl w:ilvl="1" w:tplc="3196D044" w:tentative="1">
      <w:start w:val="1"/>
      <w:numFmt w:val="bullet"/>
      <w:lvlText w:val="o"/>
      <w:lvlJc w:val="left"/>
      <w:pPr>
        <w:tabs>
          <w:tab w:val="num" w:pos="1440"/>
        </w:tabs>
        <w:ind w:left="1440" w:hanging="360"/>
      </w:pPr>
      <w:rPr>
        <w:rFonts w:ascii="Courier New" w:hAnsi="Courier New" w:hint="default"/>
        <w:sz w:val="20"/>
      </w:rPr>
    </w:lvl>
    <w:lvl w:ilvl="2" w:tplc="3A48247A" w:tentative="1">
      <w:start w:val="1"/>
      <w:numFmt w:val="bullet"/>
      <w:lvlText w:val=""/>
      <w:lvlJc w:val="left"/>
      <w:pPr>
        <w:tabs>
          <w:tab w:val="num" w:pos="2160"/>
        </w:tabs>
        <w:ind w:left="2160" w:hanging="360"/>
      </w:pPr>
      <w:rPr>
        <w:rFonts w:ascii="Wingdings" w:hAnsi="Wingdings" w:hint="default"/>
        <w:sz w:val="20"/>
      </w:rPr>
    </w:lvl>
    <w:lvl w:ilvl="3" w:tplc="BB30A710" w:tentative="1">
      <w:start w:val="1"/>
      <w:numFmt w:val="bullet"/>
      <w:lvlText w:val=""/>
      <w:lvlJc w:val="left"/>
      <w:pPr>
        <w:tabs>
          <w:tab w:val="num" w:pos="2880"/>
        </w:tabs>
        <w:ind w:left="2880" w:hanging="360"/>
      </w:pPr>
      <w:rPr>
        <w:rFonts w:ascii="Wingdings" w:hAnsi="Wingdings" w:hint="default"/>
        <w:sz w:val="20"/>
      </w:rPr>
    </w:lvl>
    <w:lvl w:ilvl="4" w:tplc="981026A8" w:tentative="1">
      <w:start w:val="1"/>
      <w:numFmt w:val="bullet"/>
      <w:lvlText w:val=""/>
      <w:lvlJc w:val="left"/>
      <w:pPr>
        <w:tabs>
          <w:tab w:val="num" w:pos="3600"/>
        </w:tabs>
        <w:ind w:left="3600" w:hanging="360"/>
      </w:pPr>
      <w:rPr>
        <w:rFonts w:ascii="Wingdings" w:hAnsi="Wingdings" w:hint="default"/>
        <w:sz w:val="20"/>
      </w:rPr>
    </w:lvl>
    <w:lvl w:ilvl="5" w:tplc="849CB84E" w:tentative="1">
      <w:start w:val="1"/>
      <w:numFmt w:val="bullet"/>
      <w:lvlText w:val=""/>
      <w:lvlJc w:val="left"/>
      <w:pPr>
        <w:tabs>
          <w:tab w:val="num" w:pos="4320"/>
        </w:tabs>
        <w:ind w:left="4320" w:hanging="360"/>
      </w:pPr>
      <w:rPr>
        <w:rFonts w:ascii="Wingdings" w:hAnsi="Wingdings" w:hint="default"/>
        <w:sz w:val="20"/>
      </w:rPr>
    </w:lvl>
    <w:lvl w:ilvl="6" w:tplc="245C544C" w:tentative="1">
      <w:start w:val="1"/>
      <w:numFmt w:val="bullet"/>
      <w:lvlText w:val=""/>
      <w:lvlJc w:val="left"/>
      <w:pPr>
        <w:tabs>
          <w:tab w:val="num" w:pos="5040"/>
        </w:tabs>
        <w:ind w:left="5040" w:hanging="360"/>
      </w:pPr>
      <w:rPr>
        <w:rFonts w:ascii="Wingdings" w:hAnsi="Wingdings" w:hint="default"/>
        <w:sz w:val="20"/>
      </w:rPr>
    </w:lvl>
    <w:lvl w:ilvl="7" w:tplc="4980251A" w:tentative="1">
      <w:start w:val="1"/>
      <w:numFmt w:val="bullet"/>
      <w:lvlText w:val=""/>
      <w:lvlJc w:val="left"/>
      <w:pPr>
        <w:tabs>
          <w:tab w:val="num" w:pos="5760"/>
        </w:tabs>
        <w:ind w:left="5760" w:hanging="360"/>
      </w:pPr>
      <w:rPr>
        <w:rFonts w:ascii="Wingdings" w:hAnsi="Wingdings" w:hint="default"/>
        <w:sz w:val="20"/>
      </w:rPr>
    </w:lvl>
    <w:lvl w:ilvl="8" w:tplc="B85083D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91570"/>
    <w:multiLevelType w:val="hybridMultilevel"/>
    <w:tmpl w:val="34B2E5DE"/>
    <w:lvl w:ilvl="0" w:tplc="2EB43A3C">
      <w:start w:val="1"/>
      <w:numFmt w:val="bullet"/>
      <w:lvlText w:val=""/>
      <w:lvlJc w:val="left"/>
      <w:pPr>
        <w:tabs>
          <w:tab w:val="num" w:pos="720"/>
        </w:tabs>
        <w:ind w:left="720" w:hanging="360"/>
      </w:pPr>
      <w:rPr>
        <w:rFonts w:ascii="Symbol" w:hAnsi="Symbol" w:hint="default"/>
        <w:sz w:val="20"/>
      </w:rPr>
    </w:lvl>
    <w:lvl w:ilvl="1" w:tplc="5EB476C2" w:tentative="1">
      <w:start w:val="1"/>
      <w:numFmt w:val="bullet"/>
      <w:lvlText w:val="o"/>
      <w:lvlJc w:val="left"/>
      <w:pPr>
        <w:tabs>
          <w:tab w:val="num" w:pos="1440"/>
        </w:tabs>
        <w:ind w:left="1440" w:hanging="360"/>
      </w:pPr>
      <w:rPr>
        <w:rFonts w:ascii="Courier New" w:hAnsi="Courier New" w:hint="default"/>
        <w:sz w:val="20"/>
      </w:rPr>
    </w:lvl>
    <w:lvl w:ilvl="2" w:tplc="5C9C57DE" w:tentative="1">
      <w:start w:val="1"/>
      <w:numFmt w:val="bullet"/>
      <w:lvlText w:val=""/>
      <w:lvlJc w:val="left"/>
      <w:pPr>
        <w:tabs>
          <w:tab w:val="num" w:pos="2160"/>
        </w:tabs>
        <w:ind w:left="2160" w:hanging="360"/>
      </w:pPr>
      <w:rPr>
        <w:rFonts w:ascii="Wingdings" w:hAnsi="Wingdings" w:hint="default"/>
        <w:sz w:val="20"/>
      </w:rPr>
    </w:lvl>
    <w:lvl w:ilvl="3" w:tplc="7C8C640A" w:tentative="1">
      <w:start w:val="1"/>
      <w:numFmt w:val="bullet"/>
      <w:lvlText w:val=""/>
      <w:lvlJc w:val="left"/>
      <w:pPr>
        <w:tabs>
          <w:tab w:val="num" w:pos="2880"/>
        </w:tabs>
        <w:ind w:left="2880" w:hanging="360"/>
      </w:pPr>
      <w:rPr>
        <w:rFonts w:ascii="Wingdings" w:hAnsi="Wingdings" w:hint="default"/>
        <w:sz w:val="20"/>
      </w:rPr>
    </w:lvl>
    <w:lvl w:ilvl="4" w:tplc="2D349DFC" w:tentative="1">
      <w:start w:val="1"/>
      <w:numFmt w:val="bullet"/>
      <w:lvlText w:val=""/>
      <w:lvlJc w:val="left"/>
      <w:pPr>
        <w:tabs>
          <w:tab w:val="num" w:pos="3600"/>
        </w:tabs>
        <w:ind w:left="3600" w:hanging="360"/>
      </w:pPr>
      <w:rPr>
        <w:rFonts w:ascii="Wingdings" w:hAnsi="Wingdings" w:hint="default"/>
        <w:sz w:val="20"/>
      </w:rPr>
    </w:lvl>
    <w:lvl w:ilvl="5" w:tplc="5DE8E7A4" w:tentative="1">
      <w:start w:val="1"/>
      <w:numFmt w:val="bullet"/>
      <w:lvlText w:val=""/>
      <w:lvlJc w:val="left"/>
      <w:pPr>
        <w:tabs>
          <w:tab w:val="num" w:pos="4320"/>
        </w:tabs>
        <w:ind w:left="4320" w:hanging="360"/>
      </w:pPr>
      <w:rPr>
        <w:rFonts w:ascii="Wingdings" w:hAnsi="Wingdings" w:hint="default"/>
        <w:sz w:val="20"/>
      </w:rPr>
    </w:lvl>
    <w:lvl w:ilvl="6" w:tplc="1A0240B6" w:tentative="1">
      <w:start w:val="1"/>
      <w:numFmt w:val="bullet"/>
      <w:lvlText w:val=""/>
      <w:lvlJc w:val="left"/>
      <w:pPr>
        <w:tabs>
          <w:tab w:val="num" w:pos="5040"/>
        </w:tabs>
        <w:ind w:left="5040" w:hanging="360"/>
      </w:pPr>
      <w:rPr>
        <w:rFonts w:ascii="Wingdings" w:hAnsi="Wingdings" w:hint="default"/>
        <w:sz w:val="20"/>
      </w:rPr>
    </w:lvl>
    <w:lvl w:ilvl="7" w:tplc="D8C450AC" w:tentative="1">
      <w:start w:val="1"/>
      <w:numFmt w:val="bullet"/>
      <w:lvlText w:val=""/>
      <w:lvlJc w:val="left"/>
      <w:pPr>
        <w:tabs>
          <w:tab w:val="num" w:pos="5760"/>
        </w:tabs>
        <w:ind w:left="5760" w:hanging="360"/>
      </w:pPr>
      <w:rPr>
        <w:rFonts w:ascii="Wingdings" w:hAnsi="Wingdings" w:hint="default"/>
        <w:sz w:val="20"/>
      </w:rPr>
    </w:lvl>
    <w:lvl w:ilvl="8" w:tplc="2DFEE0E2"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2D3353"/>
    <w:multiLevelType w:val="hybridMultilevel"/>
    <w:tmpl w:val="7CC04BAA"/>
    <w:lvl w:ilvl="0" w:tplc="2AE02FB6">
      <w:start w:val="1"/>
      <w:numFmt w:val="bullet"/>
      <w:lvlText w:val=""/>
      <w:lvlJc w:val="left"/>
      <w:pPr>
        <w:tabs>
          <w:tab w:val="num" w:pos="720"/>
        </w:tabs>
        <w:ind w:left="720" w:hanging="360"/>
      </w:pPr>
      <w:rPr>
        <w:rFonts w:ascii="Symbol" w:hAnsi="Symbol" w:hint="default"/>
        <w:sz w:val="20"/>
      </w:rPr>
    </w:lvl>
    <w:lvl w:ilvl="1" w:tplc="C1986D70" w:tentative="1">
      <w:start w:val="1"/>
      <w:numFmt w:val="bullet"/>
      <w:lvlText w:val="o"/>
      <w:lvlJc w:val="left"/>
      <w:pPr>
        <w:tabs>
          <w:tab w:val="num" w:pos="1440"/>
        </w:tabs>
        <w:ind w:left="1440" w:hanging="360"/>
      </w:pPr>
      <w:rPr>
        <w:rFonts w:ascii="Courier New" w:hAnsi="Courier New" w:hint="default"/>
        <w:sz w:val="20"/>
      </w:rPr>
    </w:lvl>
    <w:lvl w:ilvl="2" w:tplc="F99C9F4C" w:tentative="1">
      <w:start w:val="1"/>
      <w:numFmt w:val="bullet"/>
      <w:lvlText w:val=""/>
      <w:lvlJc w:val="left"/>
      <w:pPr>
        <w:tabs>
          <w:tab w:val="num" w:pos="2160"/>
        </w:tabs>
        <w:ind w:left="2160" w:hanging="360"/>
      </w:pPr>
      <w:rPr>
        <w:rFonts w:ascii="Wingdings" w:hAnsi="Wingdings" w:hint="default"/>
        <w:sz w:val="20"/>
      </w:rPr>
    </w:lvl>
    <w:lvl w:ilvl="3" w:tplc="D7FA1454" w:tentative="1">
      <w:start w:val="1"/>
      <w:numFmt w:val="bullet"/>
      <w:lvlText w:val=""/>
      <w:lvlJc w:val="left"/>
      <w:pPr>
        <w:tabs>
          <w:tab w:val="num" w:pos="2880"/>
        </w:tabs>
        <w:ind w:left="2880" w:hanging="360"/>
      </w:pPr>
      <w:rPr>
        <w:rFonts w:ascii="Wingdings" w:hAnsi="Wingdings" w:hint="default"/>
        <w:sz w:val="20"/>
      </w:rPr>
    </w:lvl>
    <w:lvl w:ilvl="4" w:tplc="1B5ABC4E" w:tentative="1">
      <w:start w:val="1"/>
      <w:numFmt w:val="bullet"/>
      <w:lvlText w:val=""/>
      <w:lvlJc w:val="left"/>
      <w:pPr>
        <w:tabs>
          <w:tab w:val="num" w:pos="3600"/>
        </w:tabs>
        <w:ind w:left="3600" w:hanging="360"/>
      </w:pPr>
      <w:rPr>
        <w:rFonts w:ascii="Wingdings" w:hAnsi="Wingdings" w:hint="default"/>
        <w:sz w:val="20"/>
      </w:rPr>
    </w:lvl>
    <w:lvl w:ilvl="5" w:tplc="948EB8B8" w:tentative="1">
      <w:start w:val="1"/>
      <w:numFmt w:val="bullet"/>
      <w:lvlText w:val=""/>
      <w:lvlJc w:val="left"/>
      <w:pPr>
        <w:tabs>
          <w:tab w:val="num" w:pos="4320"/>
        </w:tabs>
        <w:ind w:left="4320" w:hanging="360"/>
      </w:pPr>
      <w:rPr>
        <w:rFonts w:ascii="Wingdings" w:hAnsi="Wingdings" w:hint="default"/>
        <w:sz w:val="20"/>
      </w:rPr>
    </w:lvl>
    <w:lvl w:ilvl="6" w:tplc="0D1C5DE0" w:tentative="1">
      <w:start w:val="1"/>
      <w:numFmt w:val="bullet"/>
      <w:lvlText w:val=""/>
      <w:lvlJc w:val="left"/>
      <w:pPr>
        <w:tabs>
          <w:tab w:val="num" w:pos="5040"/>
        </w:tabs>
        <w:ind w:left="5040" w:hanging="360"/>
      </w:pPr>
      <w:rPr>
        <w:rFonts w:ascii="Wingdings" w:hAnsi="Wingdings" w:hint="default"/>
        <w:sz w:val="20"/>
      </w:rPr>
    </w:lvl>
    <w:lvl w:ilvl="7" w:tplc="D1401918" w:tentative="1">
      <w:start w:val="1"/>
      <w:numFmt w:val="bullet"/>
      <w:lvlText w:val=""/>
      <w:lvlJc w:val="left"/>
      <w:pPr>
        <w:tabs>
          <w:tab w:val="num" w:pos="5760"/>
        </w:tabs>
        <w:ind w:left="5760" w:hanging="360"/>
      </w:pPr>
      <w:rPr>
        <w:rFonts w:ascii="Wingdings" w:hAnsi="Wingdings" w:hint="default"/>
        <w:sz w:val="20"/>
      </w:rPr>
    </w:lvl>
    <w:lvl w:ilvl="8" w:tplc="30DE3FDC"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E81DC1"/>
    <w:multiLevelType w:val="hybridMultilevel"/>
    <w:tmpl w:val="5F909B30"/>
    <w:lvl w:ilvl="0" w:tplc="E8F24DAC">
      <w:start w:val="1"/>
      <w:numFmt w:val="bullet"/>
      <w:lvlText w:val="•"/>
      <w:lvlJc w:val="left"/>
      <w:pPr>
        <w:tabs>
          <w:tab w:val="num" w:pos="720"/>
        </w:tabs>
        <w:ind w:left="720" w:hanging="360"/>
      </w:pPr>
      <w:rPr>
        <w:rFonts w:ascii="Times New Roman" w:hAnsi="Times New Roman" w:hint="default"/>
      </w:rPr>
    </w:lvl>
    <w:lvl w:ilvl="1" w:tplc="49EC74C4" w:tentative="1">
      <w:start w:val="1"/>
      <w:numFmt w:val="bullet"/>
      <w:lvlText w:val="•"/>
      <w:lvlJc w:val="left"/>
      <w:pPr>
        <w:tabs>
          <w:tab w:val="num" w:pos="1440"/>
        </w:tabs>
        <w:ind w:left="1440" w:hanging="360"/>
      </w:pPr>
      <w:rPr>
        <w:rFonts w:ascii="Times New Roman" w:hAnsi="Times New Roman" w:hint="default"/>
      </w:rPr>
    </w:lvl>
    <w:lvl w:ilvl="2" w:tplc="004CB4DC" w:tentative="1">
      <w:start w:val="1"/>
      <w:numFmt w:val="bullet"/>
      <w:lvlText w:val="•"/>
      <w:lvlJc w:val="left"/>
      <w:pPr>
        <w:tabs>
          <w:tab w:val="num" w:pos="2160"/>
        </w:tabs>
        <w:ind w:left="2160" w:hanging="360"/>
      </w:pPr>
      <w:rPr>
        <w:rFonts w:ascii="Times New Roman" w:hAnsi="Times New Roman" w:hint="default"/>
      </w:rPr>
    </w:lvl>
    <w:lvl w:ilvl="3" w:tplc="E8E8C4C4" w:tentative="1">
      <w:start w:val="1"/>
      <w:numFmt w:val="bullet"/>
      <w:lvlText w:val="•"/>
      <w:lvlJc w:val="left"/>
      <w:pPr>
        <w:tabs>
          <w:tab w:val="num" w:pos="2880"/>
        </w:tabs>
        <w:ind w:left="2880" w:hanging="360"/>
      </w:pPr>
      <w:rPr>
        <w:rFonts w:ascii="Times New Roman" w:hAnsi="Times New Roman" w:hint="default"/>
      </w:rPr>
    </w:lvl>
    <w:lvl w:ilvl="4" w:tplc="1194B570" w:tentative="1">
      <w:start w:val="1"/>
      <w:numFmt w:val="bullet"/>
      <w:lvlText w:val="•"/>
      <w:lvlJc w:val="left"/>
      <w:pPr>
        <w:tabs>
          <w:tab w:val="num" w:pos="3600"/>
        </w:tabs>
        <w:ind w:left="3600" w:hanging="360"/>
      </w:pPr>
      <w:rPr>
        <w:rFonts w:ascii="Times New Roman" w:hAnsi="Times New Roman" w:hint="default"/>
      </w:rPr>
    </w:lvl>
    <w:lvl w:ilvl="5" w:tplc="14C061CC" w:tentative="1">
      <w:start w:val="1"/>
      <w:numFmt w:val="bullet"/>
      <w:lvlText w:val="•"/>
      <w:lvlJc w:val="left"/>
      <w:pPr>
        <w:tabs>
          <w:tab w:val="num" w:pos="4320"/>
        </w:tabs>
        <w:ind w:left="4320" w:hanging="360"/>
      </w:pPr>
      <w:rPr>
        <w:rFonts w:ascii="Times New Roman" w:hAnsi="Times New Roman" w:hint="default"/>
      </w:rPr>
    </w:lvl>
    <w:lvl w:ilvl="6" w:tplc="4A446DFE" w:tentative="1">
      <w:start w:val="1"/>
      <w:numFmt w:val="bullet"/>
      <w:lvlText w:val="•"/>
      <w:lvlJc w:val="left"/>
      <w:pPr>
        <w:tabs>
          <w:tab w:val="num" w:pos="5040"/>
        </w:tabs>
        <w:ind w:left="5040" w:hanging="360"/>
      </w:pPr>
      <w:rPr>
        <w:rFonts w:ascii="Times New Roman" w:hAnsi="Times New Roman" w:hint="default"/>
      </w:rPr>
    </w:lvl>
    <w:lvl w:ilvl="7" w:tplc="155CB670" w:tentative="1">
      <w:start w:val="1"/>
      <w:numFmt w:val="bullet"/>
      <w:lvlText w:val="•"/>
      <w:lvlJc w:val="left"/>
      <w:pPr>
        <w:tabs>
          <w:tab w:val="num" w:pos="5760"/>
        </w:tabs>
        <w:ind w:left="5760" w:hanging="360"/>
      </w:pPr>
      <w:rPr>
        <w:rFonts w:ascii="Times New Roman" w:hAnsi="Times New Roman" w:hint="default"/>
      </w:rPr>
    </w:lvl>
    <w:lvl w:ilvl="8" w:tplc="7C14AED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4394507"/>
    <w:multiLevelType w:val="hybridMultilevel"/>
    <w:tmpl w:val="1DFA7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F80D4F"/>
    <w:multiLevelType w:val="hybridMultilevel"/>
    <w:tmpl w:val="A4028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186DC4"/>
    <w:multiLevelType w:val="hybridMultilevel"/>
    <w:tmpl w:val="9D4E4BD0"/>
    <w:lvl w:ilvl="0" w:tplc="290E8322">
      <w:start w:val="1"/>
      <w:numFmt w:val="bullet"/>
      <w:lvlText w:val=""/>
      <w:lvlJc w:val="left"/>
      <w:pPr>
        <w:tabs>
          <w:tab w:val="num" w:pos="1800"/>
        </w:tabs>
        <w:ind w:left="1800" w:hanging="360"/>
      </w:pPr>
      <w:rPr>
        <w:rFonts w:ascii="Symbol" w:hAnsi="Symbol" w:hint="default"/>
        <w:color w:val="auto"/>
        <w:u w:color="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BA6527"/>
    <w:multiLevelType w:val="hybridMultilevel"/>
    <w:tmpl w:val="B9C40F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FC65F4"/>
    <w:multiLevelType w:val="hybridMultilevel"/>
    <w:tmpl w:val="1C5C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787D82"/>
    <w:multiLevelType w:val="hybridMultilevel"/>
    <w:tmpl w:val="6E567CEC"/>
    <w:lvl w:ilvl="0" w:tplc="FE60392E">
      <w:start w:val="1"/>
      <w:numFmt w:val="bullet"/>
      <w:lvlText w:val="•"/>
      <w:lvlJc w:val="left"/>
      <w:pPr>
        <w:tabs>
          <w:tab w:val="num" w:pos="720"/>
        </w:tabs>
        <w:ind w:left="720" w:hanging="360"/>
      </w:pPr>
      <w:rPr>
        <w:rFonts w:ascii="Times New Roman" w:hAnsi="Times New Roman" w:hint="default"/>
      </w:rPr>
    </w:lvl>
    <w:lvl w:ilvl="1" w:tplc="F182C596" w:tentative="1">
      <w:start w:val="1"/>
      <w:numFmt w:val="bullet"/>
      <w:lvlText w:val="•"/>
      <w:lvlJc w:val="left"/>
      <w:pPr>
        <w:tabs>
          <w:tab w:val="num" w:pos="1440"/>
        </w:tabs>
        <w:ind w:left="1440" w:hanging="360"/>
      </w:pPr>
      <w:rPr>
        <w:rFonts w:ascii="Times New Roman" w:hAnsi="Times New Roman" w:hint="default"/>
      </w:rPr>
    </w:lvl>
    <w:lvl w:ilvl="2" w:tplc="9628F9DE" w:tentative="1">
      <w:start w:val="1"/>
      <w:numFmt w:val="bullet"/>
      <w:lvlText w:val="•"/>
      <w:lvlJc w:val="left"/>
      <w:pPr>
        <w:tabs>
          <w:tab w:val="num" w:pos="2160"/>
        </w:tabs>
        <w:ind w:left="2160" w:hanging="360"/>
      </w:pPr>
      <w:rPr>
        <w:rFonts w:ascii="Times New Roman" w:hAnsi="Times New Roman" w:hint="default"/>
      </w:rPr>
    </w:lvl>
    <w:lvl w:ilvl="3" w:tplc="5652FBA6" w:tentative="1">
      <w:start w:val="1"/>
      <w:numFmt w:val="bullet"/>
      <w:lvlText w:val="•"/>
      <w:lvlJc w:val="left"/>
      <w:pPr>
        <w:tabs>
          <w:tab w:val="num" w:pos="2880"/>
        </w:tabs>
        <w:ind w:left="2880" w:hanging="360"/>
      </w:pPr>
      <w:rPr>
        <w:rFonts w:ascii="Times New Roman" w:hAnsi="Times New Roman" w:hint="default"/>
      </w:rPr>
    </w:lvl>
    <w:lvl w:ilvl="4" w:tplc="D5BACCD6" w:tentative="1">
      <w:start w:val="1"/>
      <w:numFmt w:val="bullet"/>
      <w:lvlText w:val="•"/>
      <w:lvlJc w:val="left"/>
      <w:pPr>
        <w:tabs>
          <w:tab w:val="num" w:pos="3600"/>
        </w:tabs>
        <w:ind w:left="3600" w:hanging="360"/>
      </w:pPr>
      <w:rPr>
        <w:rFonts w:ascii="Times New Roman" w:hAnsi="Times New Roman" w:hint="default"/>
      </w:rPr>
    </w:lvl>
    <w:lvl w:ilvl="5" w:tplc="E92CC85A" w:tentative="1">
      <w:start w:val="1"/>
      <w:numFmt w:val="bullet"/>
      <w:lvlText w:val="•"/>
      <w:lvlJc w:val="left"/>
      <w:pPr>
        <w:tabs>
          <w:tab w:val="num" w:pos="4320"/>
        </w:tabs>
        <w:ind w:left="4320" w:hanging="360"/>
      </w:pPr>
      <w:rPr>
        <w:rFonts w:ascii="Times New Roman" w:hAnsi="Times New Roman" w:hint="default"/>
      </w:rPr>
    </w:lvl>
    <w:lvl w:ilvl="6" w:tplc="9CAABB46" w:tentative="1">
      <w:start w:val="1"/>
      <w:numFmt w:val="bullet"/>
      <w:lvlText w:val="•"/>
      <w:lvlJc w:val="left"/>
      <w:pPr>
        <w:tabs>
          <w:tab w:val="num" w:pos="5040"/>
        </w:tabs>
        <w:ind w:left="5040" w:hanging="360"/>
      </w:pPr>
      <w:rPr>
        <w:rFonts w:ascii="Times New Roman" w:hAnsi="Times New Roman" w:hint="default"/>
      </w:rPr>
    </w:lvl>
    <w:lvl w:ilvl="7" w:tplc="F6E8B8F6" w:tentative="1">
      <w:start w:val="1"/>
      <w:numFmt w:val="bullet"/>
      <w:lvlText w:val="•"/>
      <w:lvlJc w:val="left"/>
      <w:pPr>
        <w:tabs>
          <w:tab w:val="num" w:pos="5760"/>
        </w:tabs>
        <w:ind w:left="5760" w:hanging="360"/>
      </w:pPr>
      <w:rPr>
        <w:rFonts w:ascii="Times New Roman" w:hAnsi="Times New Roman" w:hint="default"/>
      </w:rPr>
    </w:lvl>
    <w:lvl w:ilvl="8" w:tplc="33A4A5D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E352A58"/>
    <w:multiLevelType w:val="hybridMultilevel"/>
    <w:tmpl w:val="6DE2D8DA"/>
    <w:lvl w:ilvl="0" w:tplc="F8BE2A7C">
      <w:start w:val="1"/>
      <w:numFmt w:val="decimal"/>
      <w:lvlText w:val="%1."/>
      <w:lvlJc w:val="left"/>
      <w:pPr>
        <w:tabs>
          <w:tab w:val="num" w:pos="720"/>
        </w:tabs>
        <w:ind w:left="720" w:hanging="360"/>
      </w:pPr>
      <w:rPr>
        <w:rFonts w:ascii="Arial" w:hAnsi="Arial" w:hint="default"/>
        <w:b w:val="0"/>
        <w:i w:val="0"/>
        <w:color w:val="333333"/>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432170"/>
    <w:multiLevelType w:val="hybridMultilevel"/>
    <w:tmpl w:val="0B229A14"/>
    <w:lvl w:ilvl="0" w:tplc="97007D9C">
      <w:start w:val="1"/>
      <w:numFmt w:val="bullet"/>
      <w:lvlText w:val="•"/>
      <w:lvlJc w:val="left"/>
      <w:pPr>
        <w:tabs>
          <w:tab w:val="num" w:pos="720"/>
        </w:tabs>
        <w:ind w:left="720" w:hanging="360"/>
      </w:pPr>
      <w:rPr>
        <w:rFonts w:ascii="Times New Roman" w:hAnsi="Times New Roman" w:hint="default"/>
      </w:rPr>
    </w:lvl>
    <w:lvl w:ilvl="1" w:tplc="6D14EF5A" w:tentative="1">
      <w:start w:val="1"/>
      <w:numFmt w:val="bullet"/>
      <w:lvlText w:val="•"/>
      <w:lvlJc w:val="left"/>
      <w:pPr>
        <w:tabs>
          <w:tab w:val="num" w:pos="1440"/>
        </w:tabs>
        <w:ind w:left="1440" w:hanging="360"/>
      </w:pPr>
      <w:rPr>
        <w:rFonts w:ascii="Times New Roman" w:hAnsi="Times New Roman" w:hint="default"/>
      </w:rPr>
    </w:lvl>
    <w:lvl w:ilvl="2" w:tplc="E368C794" w:tentative="1">
      <w:start w:val="1"/>
      <w:numFmt w:val="bullet"/>
      <w:lvlText w:val="•"/>
      <w:lvlJc w:val="left"/>
      <w:pPr>
        <w:tabs>
          <w:tab w:val="num" w:pos="2160"/>
        </w:tabs>
        <w:ind w:left="2160" w:hanging="360"/>
      </w:pPr>
      <w:rPr>
        <w:rFonts w:ascii="Times New Roman" w:hAnsi="Times New Roman" w:hint="default"/>
      </w:rPr>
    </w:lvl>
    <w:lvl w:ilvl="3" w:tplc="0EEE16EA" w:tentative="1">
      <w:start w:val="1"/>
      <w:numFmt w:val="bullet"/>
      <w:lvlText w:val="•"/>
      <w:lvlJc w:val="left"/>
      <w:pPr>
        <w:tabs>
          <w:tab w:val="num" w:pos="2880"/>
        </w:tabs>
        <w:ind w:left="2880" w:hanging="360"/>
      </w:pPr>
      <w:rPr>
        <w:rFonts w:ascii="Times New Roman" w:hAnsi="Times New Roman" w:hint="default"/>
      </w:rPr>
    </w:lvl>
    <w:lvl w:ilvl="4" w:tplc="6F0C77D0" w:tentative="1">
      <w:start w:val="1"/>
      <w:numFmt w:val="bullet"/>
      <w:lvlText w:val="•"/>
      <w:lvlJc w:val="left"/>
      <w:pPr>
        <w:tabs>
          <w:tab w:val="num" w:pos="3600"/>
        </w:tabs>
        <w:ind w:left="3600" w:hanging="360"/>
      </w:pPr>
      <w:rPr>
        <w:rFonts w:ascii="Times New Roman" w:hAnsi="Times New Roman" w:hint="default"/>
      </w:rPr>
    </w:lvl>
    <w:lvl w:ilvl="5" w:tplc="E5522F9E" w:tentative="1">
      <w:start w:val="1"/>
      <w:numFmt w:val="bullet"/>
      <w:lvlText w:val="•"/>
      <w:lvlJc w:val="left"/>
      <w:pPr>
        <w:tabs>
          <w:tab w:val="num" w:pos="4320"/>
        </w:tabs>
        <w:ind w:left="4320" w:hanging="360"/>
      </w:pPr>
      <w:rPr>
        <w:rFonts w:ascii="Times New Roman" w:hAnsi="Times New Roman" w:hint="default"/>
      </w:rPr>
    </w:lvl>
    <w:lvl w:ilvl="6" w:tplc="43A4779A" w:tentative="1">
      <w:start w:val="1"/>
      <w:numFmt w:val="bullet"/>
      <w:lvlText w:val="•"/>
      <w:lvlJc w:val="left"/>
      <w:pPr>
        <w:tabs>
          <w:tab w:val="num" w:pos="5040"/>
        </w:tabs>
        <w:ind w:left="5040" w:hanging="360"/>
      </w:pPr>
      <w:rPr>
        <w:rFonts w:ascii="Times New Roman" w:hAnsi="Times New Roman" w:hint="default"/>
      </w:rPr>
    </w:lvl>
    <w:lvl w:ilvl="7" w:tplc="B930F410" w:tentative="1">
      <w:start w:val="1"/>
      <w:numFmt w:val="bullet"/>
      <w:lvlText w:val="•"/>
      <w:lvlJc w:val="left"/>
      <w:pPr>
        <w:tabs>
          <w:tab w:val="num" w:pos="5760"/>
        </w:tabs>
        <w:ind w:left="5760" w:hanging="360"/>
      </w:pPr>
      <w:rPr>
        <w:rFonts w:ascii="Times New Roman" w:hAnsi="Times New Roman" w:hint="default"/>
      </w:rPr>
    </w:lvl>
    <w:lvl w:ilvl="8" w:tplc="BABEAC7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20B60F1"/>
    <w:multiLevelType w:val="hybridMultilevel"/>
    <w:tmpl w:val="804C4144"/>
    <w:lvl w:ilvl="0" w:tplc="59D6C060">
      <w:start w:val="1"/>
      <w:numFmt w:val="bullet"/>
      <w:lvlText w:val=""/>
      <w:lvlJc w:val="left"/>
      <w:pPr>
        <w:tabs>
          <w:tab w:val="num" w:pos="720"/>
        </w:tabs>
        <w:ind w:left="720" w:hanging="360"/>
      </w:pPr>
      <w:rPr>
        <w:rFonts w:ascii="Symbol" w:hAnsi="Symbol" w:hint="default"/>
      </w:rPr>
    </w:lvl>
    <w:lvl w:ilvl="1" w:tplc="BB064AFE">
      <w:start w:val="1"/>
      <w:numFmt w:val="bullet"/>
      <w:lvlText w:val=""/>
      <w:lvlJc w:val="left"/>
      <w:pPr>
        <w:tabs>
          <w:tab w:val="num" w:pos="1440"/>
        </w:tabs>
        <w:ind w:left="1440" w:hanging="360"/>
      </w:pPr>
      <w:rPr>
        <w:rFonts w:ascii="Symbol" w:hAnsi="Symbol" w:hint="default"/>
      </w:rPr>
    </w:lvl>
    <w:lvl w:ilvl="2" w:tplc="66C62710" w:tentative="1">
      <w:start w:val="1"/>
      <w:numFmt w:val="bullet"/>
      <w:lvlText w:val=""/>
      <w:lvlJc w:val="left"/>
      <w:pPr>
        <w:tabs>
          <w:tab w:val="num" w:pos="2160"/>
        </w:tabs>
        <w:ind w:left="2160" w:hanging="360"/>
      </w:pPr>
      <w:rPr>
        <w:rFonts w:ascii="Symbol" w:hAnsi="Symbol" w:hint="default"/>
      </w:rPr>
    </w:lvl>
    <w:lvl w:ilvl="3" w:tplc="EB5E286E" w:tentative="1">
      <w:start w:val="1"/>
      <w:numFmt w:val="bullet"/>
      <w:lvlText w:val=""/>
      <w:lvlJc w:val="left"/>
      <w:pPr>
        <w:tabs>
          <w:tab w:val="num" w:pos="2880"/>
        </w:tabs>
        <w:ind w:left="2880" w:hanging="360"/>
      </w:pPr>
      <w:rPr>
        <w:rFonts w:ascii="Symbol" w:hAnsi="Symbol" w:hint="default"/>
      </w:rPr>
    </w:lvl>
    <w:lvl w:ilvl="4" w:tplc="6E0C5DC8" w:tentative="1">
      <w:start w:val="1"/>
      <w:numFmt w:val="bullet"/>
      <w:lvlText w:val=""/>
      <w:lvlJc w:val="left"/>
      <w:pPr>
        <w:tabs>
          <w:tab w:val="num" w:pos="3600"/>
        </w:tabs>
        <w:ind w:left="3600" w:hanging="360"/>
      </w:pPr>
      <w:rPr>
        <w:rFonts w:ascii="Symbol" w:hAnsi="Symbol" w:hint="default"/>
      </w:rPr>
    </w:lvl>
    <w:lvl w:ilvl="5" w:tplc="22C67C3C" w:tentative="1">
      <w:start w:val="1"/>
      <w:numFmt w:val="bullet"/>
      <w:lvlText w:val=""/>
      <w:lvlJc w:val="left"/>
      <w:pPr>
        <w:tabs>
          <w:tab w:val="num" w:pos="4320"/>
        </w:tabs>
        <w:ind w:left="4320" w:hanging="360"/>
      </w:pPr>
      <w:rPr>
        <w:rFonts w:ascii="Symbol" w:hAnsi="Symbol" w:hint="default"/>
      </w:rPr>
    </w:lvl>
    <w:lvl w:ilvl="6" w:tplc="6D083B02" w:tentative="1">
      <w:start w:val="1"/>
      <w:numFmt w:val="bullet"/>
      <w:lvlText w:val=""/>
      <w:lvlJc w:val="left"/>
      <w:pPr>
        <w:tabs>
          <w:tab w:val="num" w:pos="5040"/>
        </w:tabs>
        <w:ind w:left="5040" w:hanging="360"/>
      </w:pPr>
      <w:rPr>
        <w:rFonts w:ascii="Symbol" w:hAnsi="Symbol" w:hint="default"/>
      </w:rPr>
    </w:lvl>
    <w:lvl w:ilvl="7" w:tplc="2BCC9316" w:tentative="1">
      <w:start w:val="1"/>
      <w:numFmt w:val="bullet"/>
      <w:lvlText w:val=""/>
      <w:lvlJc w:val="left"/>
      <w:pPr>
        <w:tabs>
          <w:tab w:val="num" w:pos="5760"/>
        </w:tabs>
        <w:ind w:left="5760" w:hanging="360"/>
      </w:pPr>
      <w:rPr>
        <w:rFonts w:ascii="Symbol" w:hAnsi="Symbol" w:hint="default"/>
      </w:rPr>
    </w:lvl>
    <w:lvl w:ilvl="8" w:tplc="3516F03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B4A0F5A"/>
    <w:multiLevelType w:val="hybridMultilevel"/>
    <w:tmpl w:val="2EF8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7D322E"/>
    <w:multiLevelType w:val="hybridMultilevel"/>
    <w:tmpl w:val="B47A3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B34E7"/>
    <w:multiLevelType w:val="hybridMultilevel"/>
    <w:tmpl w:val="85DE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C4BC2"/>
    <w:multiLevelType w:val="hybridMultilevel"/>
    <w:tmpl w:val="2A2094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FF65CB"/>
    <w:multiLevelType w:val="hybridMultilevel"/>
    <w:tmpl w:val="AF0E4BC0"/>
    <w:lvl w:ilvl="0" w:tplc="8F7AD5F2">
      <w:start w:val="1"/>
      <w:numFmt w:val="bullet"/>
      <w:lvlText w:val=""/>
      <w:lvlJc w:val="left"/>
      <w:pPr>
        <w:tabs>
          <w:tab w:val="num" w:pos="720"/>
        </w:tabs>
        <w:ind w:left="720" w:hanging="360"/>
      </w:pPr>
      <w:rPr>
        <w:rFonts w:ascii="Symbol" w:hAnsi="Symbol" w:hint="default"/>
      </w:rPr>
    </w:lvl>
    <w:lvl w:ilvl="1" w:tplc="3A8A4942" w:tentative="1">
      <w:start w:val="1"/>
      <w:numFmt w:val="bullet"/>
      <w:lvlText w:val=""/>
      <w:lvlJc w:val="left"/>
      <w:pPr>
        <w:tabs>
          <w:tab w:val="num" w:pos="1440"/>
        </w:tabs>
        <w:ind w:left="1440" w:hanging="360"/>
      </w:pPr>
      <w:rPr>
        <w:rFonts w:ascii="Symbol" w:hAnsi="Symbol" w:hint="default"/>
      </w:rPr>
    </w:lvl>
    <w:lvl w:ilvl="2" w:tplc="CF1A9212" w:tentative="1">
      <w:start w:val="1"/>
      <w:numFmt w:val="bullet"/>
      <w:lvlText w:val=""/>
      <w:lvlJc w:val="left"/>
      <w:pPr>
        <w:tabs>
          <w:tab w:val="num" w:pos="2160"/>
        </w:tabs>
        <w:ind w:left="2160" w:hanging="360"/>
      </w:pPr>
      <w:rPr>
        <w:rFonts w:ascii="Symbol" w:hAnsi="Symbol" w:hint="default"/>
      </w:rPr>
    </w:lvl>
    <w:lvl w:ilvl="3" w:tplc="67AED704" w:tentative="1">
      <w:start w:val="1"/>
      <w:numFmt w:val="bullet"/>
      <w:lvlText w:val=""/>
      <w:lvlJc w:val="left"/>
      <w:pPr>
        <w:tabs>
          <w:tab w:val="num" w:pos="2880"/>
        </w:tabs>
        <w:ind w:left="2880" w:hanging="360"/>
      </w:pPr>
      <w:rPr>
        <w:rFonts w:ascii="Symbol" w:hAnsi="Symbol" w:hint="default"/>
      </w:rPr>
    </w:lvl>
    <w:lvl w:ilvl="4" w:tplc="631814D6" w:tentative="1">
      <w:start w:val="1"/>
      <w:numFmt w:val="bullet"/>
      <w:lvlText w:val=""/>
      <w:lvlJc w:val="left"/>
      <w:pPr>
        <w:tabs>
          <w:tab w:val="num" w:pos="3600"/>
        </w:tabs>
        <w:ind w:left="3600" w:hanging="360"/>
      </w:pPr>
      <w:rPr>
        <w:rFonts w:ascii="Symbol" w:hAnsi="Symbol" w:hint="default"/>
      </w:rPr>
    </w:lvl>
    <w:lvl w:ilvl="5" w:tplc="DEA04BE8" w:tentative="1">
      <w:start w:val="1"/>
      <w:numFmt w:val="bullet"/>
      <w:lvlText w:val=""/>
      <w:lvlJc w:val="left"/>
      <w:pPr>
        <w:tabs>
          <w:tab w:val="num" w:pos="4320"/>
        </w:tabs>
        <w:ind w:left="4320" w:hanging="360"/>
      </w:pPr>
      <w:rPr>
        <w:rFonts w:ascii="Symbol" w:hAnsi="Symbol" w:hint="default"/>
      </w:rPr>
    </w:lvl>
    <w:lvl w:ilvl="6" w:tplc="5B7614E2" w:tentative="1">
      <w:start w:val="1"/>
      <w:numFmt w:val="bullet"/>
      <w:lvlText w:val=""/>
      <w:lvlJc w:val="left"/>
      <w:pPr>
        <w:tabs>
          <w:tab w:val="num" w:pos="5040"/>
        </w:tabs>
        <w:ind w:left="5040" w:hanging="360"/>
      </w:pPr>
      <w:rPr>
        <w:rFonts w:ascii="Symbol" w:hAnsi="Symbol" w:hint="default"/>
      </w:rPr>
    </w:lvl>
    <w:lvl w:ilvl="7" w:tplc="97F05014" w:tentative="1">
      <w:start w:val="1"/>
      <w:numFmt w:val="bullet"/>
      <w:lvlText w:val=""/>
      <w:lvlJc w:val="left"/>
      <w:pPr>
        <w:tabs>
          <w:tab w:val="num" w:pos="5760"/>
        </w:tabs>
        <w:ind w:left="5760" w:hanging="360"/>
      </w:pPr>
      <w:rPr>
        <w:rFonts w:ascii="Symbol" w:hAnsi="Symbol" w:hint="default"/>
      </w:rPr>
    </w:lvl>
    <w:lvl w:ilvl="8" w:tplc="84E4AC3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6267CB1"/>
    <w:multiLevelType w:val="hybridMultilevel"/>
    <w:tmpl w:val="CAA01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A81B0D"/>
    <w:multiLevelType w:val="hybridMultilevel"/>
    <w:tmpl w:val="D6982792"/>
    <w:lvl w:ilvl="0" w:tplc="761480F0">
      <w:start w:val="1"/>
      <w:numFmt w:val="bullet"/>
      <w:lvlText w:val=""/>
      <w:lvlJc w:val="left"/>
      <w:pPr>
        <w:tabs>
          <w:tab w:val="num" w:pos="720"/>
        </w:tabs>
        <w:ind w:left="720" w:hanging="360"/>
      </w:pPr>
      <w:rPr>
        <w:rFonts w:ascii="Symbol" w:hAnsi="Symbol" w:hint="default"/>
        <w:sz w:val="20"/>
      </w:rPr>
    </w:lvl>
    <w:lvl w:ilvl="1" w:tplc="0BBC89F8" w:tentative="1">
      <w:start w:val="1"/>
      <w:numFmt w:val="bullet"/>
      <w:lvlText w:val="o"/>
      <w:lvlJc w:val="left"/>
      <w:pPr>
        <w:tabs>
          <w:tab w:val="num" w:pos="1440"/>
        </w:tabs>
        <w:ind w:left="1440" w:hanging="360"/>
      </w:pPr>
      <w:rPr>
        <w:rFonts w:ascii="Courier New" w:hAnsi="Courier New" w:hint="default"/>
        <w:sz w:val="20"/>
      </w:rPr>
    </w:lvl>
    <w:lvl w:ilvl="2" w:tplc="900A51BA" w:tentative="1">
      <w:start w:val="1"/>
      <w:numFmt w:val="bullet"/>
      <w:lvlText w:val=""/>
      <w:lvlJc w:val="left"/>
      <w:pPr>
        <w:tabs>
          <w:tab w:val="num" w:pos="2160"/>
        </w:tabs>
        <w:ind w:left="2160" w:hanging="360"/>
      </w:pPr>
      <w:rPr>
        <w:rFonts w:ascii="Wingdings" w:hAnsi="Wingdings" w:hint="default"/>
        <w:sz w:val="20"/>
      </w:rPr>
    </w:lvl>
    <w:lvl w:ilvl="3" w:tplc="DE10AF44" w:tentative="1">
      <w:start w:val="1"/>
      <w:numFmt w:val="bullet"/>
      <w:lvlText w:val=""/>
      <w:lvlJc w:val="left"/>
      <w:pPr>
        <w:tabs>
          <w:tab w:val="num" w:pos="2880"/>
        </w:tabs>
        <w:ind w:left="2880" w:hanging="360"/>
      </w:pPr>
      <w:rPr>
        <w:rFonts w:ascii="Wingdings" w:hAnsi="Wingdings" w:hint="default"/>
        <w:sz w:val="20"/>
      </w:rPr>
    </w:lvl>
    <w:lvl w:ilvl="4" w:tplc="569ADFCA" w:tentative="1">
      <w:start w:val="1"/>
      <w:numFmt w:val="bullet"/>
      <w:lvlText w:val=""/>
      <w:lvlJc w:val="left"/>
      <w:pPr>
        <w:tabs>
          <w:tab w:val="num" w:pos="3600"/>
        </w:tabs>
        <w:ind w:left="3600" w:hanging="360"/>
      </w:pPr>
      <w:rPr>
        <w:rFonts w:ascii="Wingdings" w:hAnsi="Wingdings" w:hint="default"/>
        <w:sz w:val="20"/>
      </w:rPr>
    </w:lvl>
    <w:lvl w:ilvl="5" w:tplc="0604004A" w:tentative="1">
      <w:start w:val="1"/>
      <w:numFmt w:val="bullet"/>
      <w:lvlText w:val=""/>
      <w:lvlJc w:val="left"/>
      <w:pPr>
        <w:tabs>
          <w:tab w:val="num" w:pos="4320"/>
        </w:tabs>
        <w:ind w:left="4320" w:hanging="360"/>
      </w:pPr>
      <w:rPr>
        <w:rFonts w:ascii="Wingdings" w:hAnsi="Wingdings" w:hint="default"/>
        <w:sz w:val="20"/>
      </w:rPr>
    </w:lvl>
    <w:lvl w:ilvl="6" w:tplc="5F00FB02" w:tentative="1">
      <w:start w:val="1"/>
      <w:numFmt w:val="bullet"/>
      <w:lvlText w:val=""/>
      <w:lvlJc w:val="left"/>
      <w:pPr>
        <w:tabs>
          <w:tab w:val="num" w:pos="5040"/>
        </w:tabs>
        <w:ind w:left="5040" w:hanging="360"/>
      </w:pPr>
      <w:rPr>
        <w:rFonts w:ascii="Wingdings" w:hAnsi="Wingdings" w:hint="default"/>
        <w:sz w:val="20"/>
      </w:rPr>
    </w:lvl>
    <w:lvl w:ilvl="7" w:tplc="210E7486" w:tentative="1">
      <w:start w:val="1"/>
      <w:numFmt w:val="bullet"/>
      <w:lvlText w:val=""/>
      <w:lvlJc w:val="left"/>
      <w:pPr>
        <w:tabs>
          <w:tab w:val="num" w:pos="5760"/>
        </w:tabs>
        <w:ind w:left="5760" w:hanging="360"/>
      </w:pPr>
      <w:rPr>
        <w:rFonts w:ascii="Wingdings" w:hAnsi="Wingdings" w:hint="default"/>
        <w:sz w:val="20"/>
      </w:rPr>
    </w:lvl>
    <w:lvl w:ilvl="8" w:tplc="C206DD5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62110A"/>
    <w:multiLevelType w:val="hybridMultilevel"/>
    <w:tmpl w:val="C39E3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866347"/>
    <w:multiLevelType w:val="hybridMultilevel"/>
    <w:tmpl w:val="E1866250"/>
    <w:lvl w:ilvl="0" w:tplc="C51C6036">
      <w:start w:val="1"/>
      <w:numFmt w:val="bullet"/>
      <w:lvlText w:val=""/>
      <w:lvlJc w:val="left"/>
      <w:pPr>
        <w:tabs>
          <w:tab w:val="num" w:pos="6750"/>
        </w:tabs>
        <w:ind w:left="2160" w:hanging="720"/>
      </w:pPr>
      <w:rPr>
        <w:rFonts w:ascii="Wingdings 3" w:hAnsi="Wingdings 3" w:hint="default"/>
        <w:color w:val="auto"/>
        <w:u w:color="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4C44E5"/>
    <w:multiLevelType w:val="hybridMultilevel"/>
    <w:tmpl w:val="BA1C49D4"/>
    <w:lvl w:ilvl="0" w:tplc="D4765E5A">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41E7983"/>
    <w:multiLevelType w:val="hybridMultilevel"/>
    <w:tmpl w:val="C5FCDA8A"/>
    <w:lvl w:ilvl="0" w:tplc="69F08820">
      <w:start w:val="1"/>
      <w:numFmt w:val="bullet"/>
      <w:lvlText w:val=""/>
      <w:lvlJc w:val="left"/>
      <w:pPr>
        <w:tabs>
          <w:tab w:val="num" w:pos="720"/>
        </w:tabs>
        <w:ind w:left="720" w:hanging="360"/>
      </w:pPr>
      <w:rPr>
        <w:rFonts w:ascii="Symbol" w:hAnsi="Symbol" w:hint="default"/>
        <w:sz w:val="20"/>
      </w:rPr>
    </w:lvl>
    <w:lvl w:ilvl="1" w:tplc="A076555A" w:tentative="1">
      <w:start w:val="1"/>
      <w:numFmt w:val="bullet"/>
      <w:lvlText w:val="o"/>
      <w:lvlJc w:val="left"/>
      <w:pPr>
        <w:tabs>
          <w:tab w:val="num" w:pos="1440"/>
        </w:tabs>
        <w:ind w:left="1440" w:hanging="360"/>
      </w:pPr>
      <w:rPr>
        <w:rFonts w:ascii="Courier New" w:hAnsi="Courier New" w:hint="default"/>
        <w:sz w:val="20"/>
      </w:rPr>
    </w:lvl>
    <w:lvl w:ilvl="2" w:tplc="C250FDC2" w:tentative="1">
      <w:start w:val="1"/>
      <w:numFmt w:val="bullet"/>
      <w:lvlText w:val=""/>
      <w:lvlJc w:val="left"/>
      <w:pPr>
        <w:tabs>
          <w:tab w:val="num" w:pos="2160"/>
        </w:tabs>
        <w:ind w:left="2160" w:hanging="360"/>
      </w:pPr>
      <w:rPr>
        <w:rFonts w:ascii="Wingdings" w:hAnsi="Wingdings" w:hint="default"/>
        <w:sz w:val="20"/>
      </w:rPr>
    </w:lvl>
    <w:lvl w:ilvl="3" w:tplc="85DCE684" w:tentative="1">
      <w:start w:val="1"/>
      <w:numFmt w:val="bullet"/>
      <w:lvlText w:val=""/>
      <w:lvlJc w:val="left"/>
      <w:pPr>
        <w:tabs>
          <w:tab w:val="num" w:pos="2880"/>
        </w:tabs>
        <w:ind w:left="2880" w:hanging="360"/>
      </w:pPr>
      <w:rPr>
        <w:rFonts w:ascii="Wingdings" w:hAnsi="Wingdings" w:hint="default"/>
        <w:sz w:val="20"/>
      </w:rPr>
    </w:lvl>
    <w:lvl w:ilvl="4" w:tplc="1BBA144E" w:tentative="1">
      <w:start w:val="1"/>
      <w:numFmt w:val="bullet"/>
      <w:lvlText w:val=""/>
      <w:lvlJc w:val="left"/>
      <w:pPr>
        <w:tabs>
          <w:tab w:val="num" w:pos="3600"/>
        </w:tabs>
        <w:ind w:left="3600" w:hanging="360"/>
      </w:pPr>
      <w:rPr>
        <w:rFonts w:ascii="Wingdings" w:hAnsi="Wingdings" w:hint="default"/>
        <w:sz w:val="20"/>
      </w:rPr>
    </w:lvl>
    <w:lvl w:ilvl="5" w:tplc="59769312" w:tentative="1">
      <w:start w:val="1"/>
      <w:numFmt w:val="bullet"/>
      <w:lvlText w:val=""/>
      <w:lvlJc w:val="left"/>
      <w:pPr>
        <w:tabs>
          <w:tab w:val="num" w:pos="4320"/>
        </w:tabs>
        <w:ind w:left="4320" w:hanging="360"/>
      </w:pPr>
      <w:rPr>
        <w:rFonts w:ascii="Wingdings" w:hAnsi="Wingdings" w:hint="default"/>
        <w:sz w:val="20"/>
      </w:rPr>
    </w:lvl>
    <w:lvl w:ilvl="6" w:tplc="C03AE8A6" w:tentative="1">
      <w:start w:val="1"/>
      <w:numFmt w:val="bullet"/>
      <w:lvlText w:val=""/>
      <w:lvlJc w:val="left"/>
      <w:pPr>
        <w:tabs>
          <w:tab w:val="num" w:pos="5040"/>
        </w:tabs>
        <w:ind w:left="5040" w:hanging="360"/>
      </w:pPr>
      <w:rPr>
        <w:rFonts w:ascii="Wingdings" w:hAnsi="Wingdings" w:hint="default"/>
        <w:sz w:val="20"/>
      </w:rPr>
    </w:lvl>
    <w:lvl w:ilvl="7" w:tplc="BA2E1E78" w:tentative="1">
      <w:start w:val="1"/>
      <w:numFmt w:val="bullet"/>
      <w:lvlText w:val=""/>
      <w:lvlJc w:val="left"/>
      <w:pPr>
        <w:tabs>
          <w:tab w:val="num" w:pos="5760"/>
        </w:tabs>
        <w:ind w:left="5760" w:hanging="360"/>
      </w:pPr>
      <w:rPr>
        <w:rFonts w:ascii="Wingdings" w:hAnsi="Wingdings" w:hint="default"/>
        <w:sz w:val="20"/>
      </w:rPr>
    </w:lvl>
    <w:lvl w:ilvl="8" w:tplc="5DDC5744"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84B1D"/>
    <w:multiLevelType w:val="hybridMultilevel"/>
    <w:tmpl w:val="9EB64FD4"/>
    <w:lvl w:ilvl="0" w:tplc="E32A84C2">
      <w:start w:val="1"/>
      <w:numFmt w:val="bullet"/>
      <w:lvlText w:val=""/>
      <w:lvlJc w:val="left"/>
      <w:pPr>
        <w:tabs>
          <w:tab w:val="num" w:pos="720"/>
        </w:tabs>
        <w:ind w:left="720" w:hanging="360"/>
      </w:pPr>
      <w:rPr>
        <w:rFonts w:ascii="Symbol" w:hAnsi="Symbol" w:hint="default"/>
        <w:sz w:val="20"/>
      </w:rPr>
    </w:lvl>
    <w:lvl w:ilvl="1" w:tplc="985815E0" w:tentative="1">
      <w:start w:val="1"/>
      <w:numFmt w:val="bullet"/>
      <w:lvlText w:val="o"/>
      <w:lvlJc w:val="left"/>
      <w:pPr>
        <w:tabs>
          <w:tab w:val="num" w:pos="1440"/>
        </w:tabs>
        <w:ind w:left="1440" w:hanging="360"/>
      </w:pPr>
      <w:rPr>
        <w:rFonts w:ascii="Courier New" w:hAnsi="Courier New" w:hint="default"/>
        <w:sz w:val="20"/>
      </w:rPr>
    </w:lvl>
    <w:lvl w:ilvl="2" w:tplc="8560592E" w:tentative="1">
      <w:start w:val="1"/>
      <w:numFmt w:val="bullet"/>
      <w:lvlText w:val=""/>
      <w:lvlJc w:val="left"/>
      <w:pPr>
        <w:tabs>
          <w:tab w:val="num" w:pos="2160"/>
        </w:tabs>
        <w:ind w:left="2160" w:hanging="360"/>
      </w:pPr>
      <w:rPr>
        <w:rFonts w:ascii="Wingdings" w:hAnsi="Wingdings" w:hint="default"/>
        <w:sz w:val="20"/>
      </w:rPr>
    </w:lvl>
    <w:lvl w:ilvl="3" w:tplc="8ED89B86" w:tentative="1">
      <w:start w:val="1"/>
      <w:numFmt w:val="bullet"/>
      <w:lvlText w:val=""/>
      <w:lvlJc w:val="left"/>
      <w:pPr>
        <w:tabs>
          <w:tab w:val="num" w:pos="2880"/>
        </w:tabs>
        <w:ind w:left="2880" w:hanging="360"/>
      </w:pPr>
      <w:rPr>
        <w:rFonts w:ascii="Wingdings" w:hAnsi="Wingdings" w:hint="default"/>
        <w:sz w:val="20"/>
      </w:rPr>
    </w:lvl>
    <w:lvl w:ilvl="4" w:tplc="E03C1748" w:tentative="1">
      <w:start w:val="1"/>
      <w:numFmt w:val="bullet"/>
      <w:lvlText w:val=""/>
      <w:lvlJc w:val="left"/>
      <w:pPr>
        <w:tabs>
          <w:tab w:val="num" w:pos="3600"/>
        </w:tabs>
        <w:ind w:left="3600" w:hanging="360"/>
      </w:pPr>
      <w:rPr>
        <w:rFonts w:ascii="Wingdings" w:hAnsi="Wingdings" w:hint="default"/>
        <w:sz w:val="20"/>
      </w:rPr>
    </w:lvl>
    <w:lvl w:ilvl="5" w:tplc="9EE2BF80" w:tentative="1">
      <w:start w:val="1"/>
      <w:numFmt w:val="bullet"/>
      <w:lvlText w:val=""/>
      <w:lvlJc w:val="left"/>
      <w:pPr>
        <w:tabs>
          <w:tab w:val="num" w:pos="4320"/>
        </w:tabs>
        <w:ind w:left="4320" w:hanging="360"/>
      </w:pPr>
      <w:rPr>
        <w:rFonts w:ascii="Wingdings" w:hAnsi="Wingdings" w:hint="default"/>
        <w:sz w:val="20"/>
      </w:rPr>
    </w:lvl>
    <w:lvl w:ilvl="6" w:tplc="07EE7BD8" w:tentative="1">
      <w:start w:val="1"/>
      <w:numFmt w:val="bullet"/>
      <w:lvlText w:val=""/>
      <w:lvlJc w:val="left"/>
      <w:pPr>
        <w:tabs>
          <w:tab w:val="num" w:pos="5040"/>
        </w:tabs>
        <w:ind w:left="5040" w:hanging="360"/>
      </w:pPr>
      <w:rPr>
        <w:rFonts w:ascii="Wingdings" w:hAnsi="Wingdings" w:hint="default"/>
        <w:sz w:val="20"/>
      </w:rPr>
    </w:lvl>
    <w:lvl w:ilvl="7" w:tplc="9BE06546" w:tentative="1">
      <w:start w:val="1"/>
      <w:numFmt w:val="bullet"/>
      <w:lvlText w:val=""/>
      <w:lvlJc w:val="left"/>
      <w:pPr>
        <w:tabs>
          <w:tab w:val="num" w:pos="5760"/>
        </w:tabs>
        <w:ind w:left="5760" w:hanging="360"/>
      </w:pPr>
      <w:rPr>
        <w:rFonts w:ascii="Wingdings" w:hAnsi="Wingdings" w:hint="default"/>
        <w:sz w:val="20"/>
      </w:rPr>
    </w:lvl>
    <w:lvl w:ilvl="8" w:tplc="84620A3A"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136C19"/>
    <w:multiLevelType w:val="hybridMultilevel"/>
    <w:tmpl w:val="7B968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34"/>
  </w:num>
  <w:num w:numId="4">
    <w:abstractNumId w:val="29"/>
  </w:num>
  <w:num w:numId="5">
    <w:abstractNumId w:val="10"/>
  </w:num>
  <w:num w:numId="6">
    <w:abstractNumId w:val="33"/>
  </w:num>
  <w:num w:numId="7">
    <w:abstractNumId w:val="15"/>
  </w:num>
  <w:num w:numId="8">
    <w:abstractNumId w:val="32"/>
  </w:num>
  <w:num w:numId="9">
    <w:abstractNumId w:val="17"/>
  </w:num>
  <w:num w:numId="10">
    <w:abstractNumId w:val="14"/>
  </w:num>
  <w:num w:numId="11">
    <w:abstractNumId w:val="26"/>
  </w:num>
  <w:num w:numId="12">
    <w:abstractNumId w:val="4"/>
  </w:num>
  <w:num w:numId="13">
    <w:abstractNumId w:val="20"/>
  </w:num>
  <w:num w:numId="14">
    <w:abstractNumId w:val="7"/>
  </w:num>
  <w:num w:numId="15">
    <w:abstractNumId w:val="31"/>
  </w:num>
  <w:num w:numId="16">
    <w:abstractNumId w:val="5"/>
  </w:num>
  <w:num w:numId="17">
    <w:abstractNumId w:val="16"/>
  </w:num>
  <w:num w:numId="18">
    <w:abstractNumId w:val="3"/>
  </w:num>
  <w:num w:numId="19">
    <w:abstractNumId w:val="2"/>
  </w:num>
  <w:num w:numId="20">
    <w:abstractNumId w:val="1"/>
  </w:num>
  <w:num w:numId="21">
    <w:abstractNumId w:val="19"/>
  </w:num>
  <w:num w:numId="22">
    <w:abstractNumId w:val="13"/>
  </w:num>
  <w:num w:numId="23">
    <w:abstractNumId w:val="6"/>
  </w:num>
  <w:num w:numId="24">
    <w:abstractNumId w:val="21"/>
  </w:num>
  <w:num w:numId="25">
    <w:abstractNumId w:val="0"/>
    <w:lvlOverride w:ilvl="0">
      <w:lvl w:ilvl="0">
        <w:numFmt w:val="bullet"/>
        <w:lvlText w:val="•"/>
        <w:legacy w:legacy="1" w:legacySpace="0" w:legacyIndent="0"/>
        <w:lvlJc w:val="left"/>
        <w:rPr>
          <w:rFonts w:ascii="Arial" w:hAnsi="Arial" w:cs="Arial" w:hint="default"/>
          <w:sz w:val="18"/>
        </w:rPr>
      </w:lvl>
    </w:lvlOverride>
  </w:num>
  <w:num w:numId="26">
    <w:abstractNumId w:val="30"/>
  </w:num>
  <w:num w:numId="27">
    <w:abstractNumId w:val="24"/>
  </w:num>
  <w:num w:numId="28">
    <w:abstractNumId w:val="27"/>
  </w:num>
  <w:num w:numId="29">
    <w:abstractNumId w:val="22"/>
  </w:num>
  <w:num w:numId="30">
    <w:abstractNumId w:val="35"/>
  </w:num>
  <w:num w:numId="31">
    <w:abstractNumId w:val="8"/>
  </w:num>
  <w:num w:numId="32">
    <w:abstractNumId w:val="25"/>
  </w:num>
  <w:num w:numId="33">
    <w:abstractNumId w:val="23"/>
  </w:num>
  <w:num w:numId="34">
    <w:abstractNumId w:val="28"/>
  </w:num>
  <w:num w:numId="35">
    <w:abstractNumId w:val="18"/>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C90"/>
    <w:rsid w:val="00036421"/>
    <w:rsid w:val="00045ABC"/>
    <w:rsid w:val="000604A8"/>
    <w:rsid w:val="00087240"/>
    <w:rsid w:val="00155C90"/>
    <w:rsid w:val="00157BA0"/>
    <w:rsid w:val="00286E28"/>
    <w:rsid w:val="003503E0"/>
    <w:rsid w:val="00511D2A"/>
    <w:rsid w:val="006B1138"/>
    <w:rsid w:val="007241A1"/>
    <w:rsid w:val="007B76BC"/>
    <w:rsid w:val="007C4BCA"/>
    <w:rsid w:val="00831428"/>
    <w:rsid w:val="00AA2B3F"/>
    <w:rsid w:val="00EC1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CAC25E1"/>
  <w15:docId w15:val="{321EAB2B-4DA8-45FE-BE8D-DF47658E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C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55C90"/>
    <w:pPr>
      <w:keepNext/>
      <w:spacing w:before="240" w:after="60"/>
      <w:outlineLvl w:val="0"/>
    </w:pPr>
    <w:rPr>
      <w:rFonts w:ascii="Arial" w:hAnsi="Arial" w:cs="Arial"/>
      <w:b/>
      <w:bCs/>
      <w:kern w:val="32"/>
      <w:sz w:val="32"/>
      <w:szCs w:val="32"/>
    </w:rPr>
  </w:style>
  <w:style w:type="paragraph" w:styleId="Heading3">
    <w:name w:val="heading 3"/>
    <w:basedOn w:val="Normal"/>
    <w:link w:val="Heading3Char"/>
    <w:qFormat/>
    <w:rsid w:val="00155C9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C90"/>
    <w:rPr>
      <w:rFonts w:ascii="Arial" w:eastAsia="Times New Roman" w:hAnsi="Arial" w:cs="Arial"/>
      <w:b/>
      <w:bCs/>
      <w:kern w:val="32"/>
      <w:sz w:val="32"/>
      <w:szCs w:val="32"/>
    </w:rPr>
  </w:style>
  <w:style w:type="character" w:customStyle="1" w:styleId="Heading3Char">
    <w:name w:val="Heading 3 Char"/>
    <w:basedOn w:val="DefaultParagraphFont"/>
    <w:link w:val="Heading3"/>
    <w:rsid w:val="00155C90"/>
    <w:rPr>
      <w:rFonts w:ascii="Times New Roman" w:eastAsia="Times New Roman" w:hAnsi="Times New Roman" w:cs="Times New Roman"/>
      <w:b/>
      <w:bCs/>
      <w:sz w:val="27"/>
      <w:szCs w:val="27"/>
    </w:rPr>
  </w:style>
  <w:style w:type="paragraph" w:styleId="NormalWeb">
    <w:name w:val="Normal (Web)"/>
    <w:basedOn w:val="Normal"/>
    <w:uiPriority w:val="99"/>
    <w:rsid w:val="00155C90"/>
    <w:pPr>
      <w:spacing w:before="100" w:beforeAutospacing="1" w:after="100" w:afterAutospacing="1"/>
    </w:pPr>
  </w:style>
  <w:style w:type="paragraph" w:styleId="Footer">
    <w:name w:val="footer"/>
    <w:basedOn w:val="Normal"/>
    <w:link w:val="FooterChar"/>
    <w:uiPriority w:val="99"/>
    <w:rsid w:val="00155C90"/>
    <w:pPr>
      <w:tabs>
        <w:tab w:val="center" w:pos="4320"/>
        <w:tab w:val="right" w:pos="8640"/>
      </w:tabs>
    </w:pPr>
  </w:style>
  <w:style w:type="character" w:customStyle="1" w:styleId="FooterChar">
    <w:name w:val="Footer Char"/>
    <w:basedOn w:val="DefaultParagraphFont"/>
    <w:link w:val="Footer"/>
    <w:uiPriority w:val="99"/>
    <w:rsid w:val="00155C90"/>
    <w:rPr>
      <w:rFonts w:ascii="Times New Roman" w:eastAsia="Times New Roman" w:hAnsi="Times New Roman" w:cs="Times New Roman"/>
      <w:sz w:val="24"/>
      <w:szCs w:val="24"/>
    </w:rPr>
  </w:style>
  <w:style w:type="character" w:styleId="PageNumber">
    <w:name w:val="page number"/>
    <w:basedOn w:val="DefaultParagraphFont"/>
    <w:rsid w:val="00155C90"/>
  </w:style>
  <w:style w:type="paragraph" w:styleId="BodyText">
    <w:name w:val="Body Text"/>
    <w:basedOn w:val="Normal"/>
    <w:link w:val="BodyTextChar"/>
    <w:rsid w:val="00155C90"/>
    <w:rPr>
      <w:rFonts w:ascii="Arial" w:hAnsi="Arial" w:cs="Arial"/>
      <w:sz w:val="20"/>
    </w:rPr>
  </w:style>
  <w:style w:type="character" w:customStyle="1" w:styleId="BodyTextChar">
    <w:name w:val="Body Text Char"/>
    <w:basedOn w:val="DefaultParagraphFont"/>
    <w:link w:val="BodyText"/>
    <w:rsid w:val="00155C90"/>
    <w:rPr>
      <w:rFonts w:ascii="Arial" w:eastAsia="Times New Roman" w:hAnsi="Arial" w:cs="Arial"/>
      <w:sz w:val="20"/>
      <w:szCs w:val="24"/>
    </w:rPr>
  </w:style>
  <w:style w:type="paragraph" w:styleId="Header">
    <w:name w:val="header"/>
    <w:basedOn w:val="Normal"/>
    <w:link w:val="HeaderChar"/>
    <w:uiPriority w:val="99"/>
    <w:rsid w:val="00155C90"/>
    <w:pPr>
      <w:tabs>
        <w:tab w:val="center" w:pos="4320"/>
        <w:tab w:val="right" w:pos="8640"/>
      </w:tabs>
    </w:pPr>
  </w:style>
  <w:style w:type="character" w:customStyle="1" w:styleId="HeaderChar">
    <w:name w:val="Header Char"/>
    <w:basedOn w:val="DefaultParagraphFont"/>
    <w:link w:val="Header"/>
    <w:uiPriority w:val="99"/>
    <w:rsid w:val="00155C90"/>
    <w:rPr>
      <w:rFonts w:ascii="Times New Roman" w:eastAsia="Times New Roman" w:hAnsi="Times New Roman" w:cs="Times New Roman"/>
      <w:sz w:val="24"/>
      <w:szCs w:val="24"/>
    </w:rPr>
  </w:style>
  <w:style w:type="paragraph" w:styleId="BalloonText">
    <w:name w:val="Balloon Text"/>
    <w:basedOn w:val="Normal"/>
    <w:link w:val="BalloonTextChar"/>
    <w:semiHidden/>
    <w:rsid w:val="00155C90"/>
    <w:rPr>
      <w:rFonts w:ascii="Tahoma" w:hAnsi="Tahoma" w:cs="Tahoma"/>
      <w:sz w:val="16"/>
      <w:szCs w:val="16"/>
    </w:rPr>
  </w:style>
  <w:style w:type="character" w:customStyle="1" w:styleId="BalloonTextChar">
    <w:name w:val="Balloon Text Char"/>
    <w:basedOn w:val="DefaultParagraphFont"/>
    <w:link w:val="BalloonText"/>
    <w:semiHidden/>
    <w:rsid w:val="00155C90"/>
    <w:rPr>
      <w:rFonts w:ascii="Tahoma" w:eastAsia="Times New Roman" w:hAnsi="Tahoma" w:cs="Tahoma"/>
      <w:sz w:val="16"/>
      <w:szCs w:val="16"/>
    </w:rPr>
  </w:style>
  <w:style w:type="character" w:styleId="Hyperlink">
    <w:name w:val="Hyperlink"/>
    <w:basedOn w:val="DefaultParagraphFont"/>
    <w:rsid w:val="00155C90"/>
    <w:rPr>
      <w:color w:val="0000FF"/>
      <w:u w:val="single"/>
    </w:rPr>
  </w:style>
  <w:style w:type="paragraph" w:styleId="PlainText">
    <w:name w:val="Plain Text"/>
    <w:basedOn w:val="Normal"/>
    <w:link w:val="PlainTextChar"/>
    <w:rsid w:val="00155C90"/>
    <w:rPr>
      <w:rFonts w:ascii="Courier New" w:hAnsi="Courier New" w:cs="Courier New"/>
      <w:sz w:val="20"/>
      <w:szCs w:val="20"/>
    </w:rPr>
  </w:style>
  <w:style w:type="character" w:customStyle="1" w:styleId="PlainTextChar">
    <w:name w:val="Plain Text Char"/>
    <w:basedOn w:val="DefaultParagraphFont"/>
    <w:link w:val="PlainText"/>
    <w:rsid w:val="00155C90"/>
    <w:rPr>
      <w:rFonts w:ascii="Courier New" w:eastAsia="Times New Roman" w:hAnsi="Courier New" w:cs="Courier New"/>
      <w:sz w:val="20"/>
      <w:szCs w:val="20"/>
    </w:rPr>
  </w:style>
  <w:style w:type="table" w:styleId="TableGrid">
    <w:name w:val="Table Grid"/>
    <w:basedOn w:val="TableNormal"/>
    <w:rsid w:val="00155C90"/>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5C90"/>
    <w:pPr>
      <w:overflowPunct w:val="0"/>
      <w:autoSpaceDE w:val="0"/>
      <w:autoSpaceDN w:val="0"/>
      <w:adjustRightInd w:val="0"/>
      <w:ind w:left="720"/>
      <w:contextualSpacing/>
      <w:textAlignment w:val="baseline"/>
    </w:pPr>
    <w:rPr>
      <w:rFonts w:ascii="MS Sans Serif" w:hAnsi="MS Sans Serif"/>
      <w:sz w:val="20"/>
      <w:szCs w:val="20"/>
    </w:rPr>
  </w:style>
  <w:style w:type="paragraph" w:customStyle="1" w:styleId="NormalWeb0">
    <w:name w:val="Normal(Web)"/>
    <w:basedOn w:val="Normal"/>
    <w:uiPriority w:val="99"/>
    <w:rsid w:val="00155C90"/>
    <w:pPr>
      <w:widowControl w:val="0"/>
      <w:autoSpaceDE w:val="0"/>
      <w:autoSpaceDN w:val="0"/>
      <w:adjustRightInd w:val="0"/>
      <w:spacing w:before="100" w:beforeAutospacing="1" w:after="100" w:afterAutospacing="1"/>
    </w:pPr>
    <w:rPr>
      <w:rFonts w:eastAsiaTheme="minorEastAsia"/>
    </w:rPr>
  </w:style>
  <w:style w:type="character" w:customStyle="1" w:styleId="DeltaViewInsertion">
    <w:name w:val="DeltaView Insertion"/>
    <w:uiPriority w:val="99"/>
    <w:rsid w:val="00155C90"/>
    <w:rPr>
      <w:color w:val="0000FF"/>
      <w:u w:val="double"/>
    </w:rPr>
  </w:style>
  <w:style w:type="character" w:styleId="CommentReference">
    <w:name w:val="annotation reference"/>
    <w:basedOn w:val="DefaultParagraphFont"/>
    <w:rsid w:val="00155C90"/>
    <w:rPr>
      <w:sz w:val="16"/>
      <w:szCs w:val="16"/>
    </w:rPr>
  </w:style>
  <w:style w:type="paragraph" w:styleId="CommentText">
    <w:name w:val="annotation text"/>
    <w:basedOn w:val="Normal"/>
    <w:link w:val="CommentTextChar"/>
    <w:rsid w:val="00155C90"/>
    <w:rPr>
      <w:sz w:val="20"/>
      <w:szCs w:val="20"/>
    </w:rPr>
  </w:style>
  <w:style w:type="character" w:customStyle="1" w:styleId="CommentTextChar">
    <w:name w:val="Comment Text Char"/>
    <w:basedOn w:val="DefaultParagraphFont"/>
    <w:link w:val="CommentText"/>
    <w:rsid w:val="00155C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55C90"/>
    <w:rPr>
      <w:b/>
      <w:bCs/>
    </w:rPr>
  </w:style>
  <w:style w:type="character" w:customStyle="1" w:styleId="CommentSubjectChar">
    <w:name w:val="Comment Subject Char"/>
    <w:basedOn w:val="CommentTextChar"/>
    <w:link w:val="CommentSubject"/>
    <w:rsid w:val="00155C9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054835">
      <w:bodyDiv w:val="1"/>
      <w:marLeft w:val="0"/>
      <w:marRight w:val="0"/>
      <w:marTop w:val="0"/>
      <w:marBottom w:val="0"/>
      <w:divBdr>
        <w:top w:val="none" w:sz="0" w:space="0" w:color="auto"/>
        <w:left w:val="none" w:sz="0" w:space="0" w:color="auto"/>
        <w:bottom w:val="none" w:sz="0" w:space="0" w:color="auto"/>
        <w:right w:val="none" w:sz="0" w:space="0" w:color="auto"/>
      </w:divBdr>
    </w:div>
    <w:div w:id="18994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6496</Words>
  <Characters>37030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Schiavo, Michelle</dc:creator>
  <cp:lastModifiedBy>Judy Wright</cp:lastModifiedBy>
  <cp:revision>2</cp:revision>
  <cp:lastPrinted>2016-05-05T19:13:00Z</cp:lastPrinted>
  <dcterms:created xsi:type="dcterms:W3CDTF">2018-09-18T00:05:00Z</dcterms:created>
  <dcterms:modified xsi:type="dcterms:W3CDTF">2018-09-18T00:05:00Z</dcterms:modified>
</cp:coreProperties>
</file>